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F0" w:rsidRDefault="00E668F0" w:rsidP="00EF37C2">
      <w:pPr>
        <w:spacing w:after="0"/>
        <w:rPr>
          <w:b/>
          <w:sz w:val="32"/>
          <w:szCs w:val="32"/>
        </w:rPr>
      </w:pPr>
      <w:r w:rsidRPr="00953715">
        <w:rPr>
          <w:b/>
          <w:sz w:val="32"/>
          <w:szCs w:val="32"/>
        </w:rPr>
        <w:t xml:space="preserve">STUDENTI ATLETI ALTO LIVELLO </w:t>
      </w:r>
      <w:r w:rsidR="000E4B93">
        <w:rPr>
          <w:b/>
          <w:sz w:val="32"/>
          <w:szCs w:val="32"/>
        </w:rPr>
        <w:t xml:space="preserve">(inseriti in sperimentazione </w:t>
      </w:r>
      <w:r w:rsidR="000E4B93" w:rsidRPr="000E4B93">
        <w:rPr>
          <w:b/>
          <w:sz w:val="32"/>
          <w:szCs w:val="32"/>
        </w:rPr>
        <w:t xml:space="preserve">MIUR)  </w:t>
      </w:r>
      <w:r w:rsidRPr="00953715">
        <w:rPr>
          <w:b/>
          <w:sz w:val="32"/>
          <w:szCs w:val="32"/>
        </w:rPr>
        <w:t xml:space="preserve"> </w:t>
      </w:r>
      <w:r w:rsidR="00953715" w:rsidRPr="00953715">
        <w:rPr>
          <w:b/>
          <w:sz w:val="32"/>
          <w:szCs w:val="32"/>
        </w:rPr>
        <w:t>e PCTO</w:t>
      </w:r>
    </w:p>
    <w:p w:rsidR="00EF37C2" w:rsidRPr="000E4B93" w:rsidRDefault="00EF37C2">
      <w:pPr>
        <w:rPr>
          <w:i/>
          <w:sz w:val="32"/>
          <w:szCs w:val="32"/>
        </w:rPr>
      </w:pPr>
      <w:r w:rsidRPr="000E4B93">
        <w:rPr>
          <w:b/>
          <w:i/>
          <w:sz w:val="32"/>
          <w:szCs w:val="32"/>
        </w:rPr>
        <w:t>Riferimenti normativi</w:t>
      </w:r>
    </w:p>
    <w:p w:rsidR="00953715" w:rsidRPr="00EF37C2" w:rsidRDefault="00953715" w:rsidP="00E668F0">
      <w:pPr>
        <w:pStyle w:val="Default"/>
        <w:rPr>
          <w:rFonts w:ascii="Times New Roman" w:hAnsi="Times New Roman" w:cs="Times New Roman"/>
          <w:b/>
          <w:color w:val="FF0000"/>
        </w:rPr>
      </w:pPr>
      <w:r w:rsidRPr="00EF37C2">
        <w:rPr>
          <w:rFonts w:ascii="Times New Roman" w:hAnsi="Times New Roman" w:cs="Times New Roman"/>
          <w:b/>
          <w:color w:val="FF0000"/>
        </w:rPr>
        <w:t xml:space="preserve">nota AOODGOSV </w:t>
      </w:r>
      <w:proofErr w:type="spellStart"/>
      <w:r w:rsidRPr="00EF37C2">
        <w:rPr>
          <w:rFonts w:ascii="Times New Roman" w:hAnsi="Times New Roman" w:cs="Times New Roman"/>
          <w:b/>
          <w:color w:val="FF0000"/>
        </w:rPr>
        <w:t>prot</w:t>
      </w:r>
      <w:proofErr w:type="spellEnd"/>
      <w:r w:rsidRPr="00EF37C2">
        <w:rPr>
          <w:rFonts w:ascii="Times New Roman" w:hAnsi="Times New Roman" w:cs="Times New Roman"/>
          <w:b/>
          <w:color w:val="FF0000"/>
        </w:rPr>
        <w:t xml:space="preserve">. n. 3355 del 28 marzo 2017 Chiarimenti interpretativi ASL  </w:t>
      </w:r>
    </w:p>
    <w:p w:rsidR="00953715" w:rsidRPr="00953715" w:rsidRDefault="00953715" w:rsidP="00953715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953715">
        <w:rPr>
          <w:rFonts w:ascii="Times New Roman" w:hAnsi="Times New Roman" w:cs="Times New Roman"/>
          <w:b/>
          <w:sz w:val="20"/>
          <w:szCs w:val="20"/>
        </w:rPr>
        <w:t xml:space="preserve">punto </w:t>
      </w:r>
      <w:r w:rsidRPr="00953715">
        <w:rPr>
          <w:rFonts w:ascii="Times New Roman" w:hAnsi="Times New Roman" w:cs="Times New Roman"/>
          <w:b/>
          <w:bCs/>
          <w:sz w:val="23"/>
          <w:szCs w:val="23"/>
        </w:rPr>
        <w:t xml:space="preserve">3 – Alternanza scuola lavoro per studenti-atleti di alto livello agonistico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D: Vi è la possibilità, per uno studente che pratica attività sportiva di alto livello agonistico, di assolvere all’impegno dell’alternanza scuola lavoro ed in che modo?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R: Le istituzioni scolastiche si trovano talvolta davanti alla necessità di rispondere alle esigenze educative degli studenti che praticano sport ad un livello significativamente superiore rispetto alla media dei praticanti e che presentano obiettive difficoltà nel combinare il doppio impegno scolastico e sportivo.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>Tali studenti praticano attività sportive ad alto livello agonistico, tale da farli considerare atleti di talento dotati di un potenziale per sviluppare un carriera sportiva d'</w:t>
      </w:r>
      <w:proofErr w:type="spellStart"/>
      <w:r w:rsidRPr="009537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elite</w:t>
      </w:r>
      <w:proofErr w:type="spellEnd"/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, con la possibilità di perfezionare in futuro più o meno prossimo un contratto professionale con un datore di lavoro o con un’organizzazione sportiva, per cui devono conciliare la loro carriera sportiva con il percorso di istruzione prescelto. </w:t>
      </w:r>
    </w:p>
    <w:p w:rsidR="00953715" w:rsidRPr="00EF37C2" w:rsidRDefault="00953715" w:rsidP="0095371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F37C2">
        <w:rPr>
          <w:rFonts w:ascii="Times New Roman" w:hAnsi="Times New Roman" w:cs="Times New Roman"/>
          <w:sz w:val="20"/>
          <w:szCs w:val="20"/>
        </w:rPr>
        <w:t>In ambito UE alcuni Stati stanno promuovendo accordi tra il sistema sportivo ed il settore dell'istruzione o il mercato del lavoro, per contemperare le esigenze e gli impegni derivanti da questa “doppia carriera”. Tali accordi rispondono alle Linee Guida denominate “</w:t>
      </w:r>
      <w:r w:rsidRPr="00EF37C2">
        <w:rPr>
          <w:rFonts w:ascii="Times New Roman" w:hAnsi="Times New Roman" w:cs="Times New Roman"/>
          <w:i/>
          <w:iCs/>
          <w:sz w:val="20"/>
          <w:szCs w:val="20"/>
        </w:rPr>
        <w:t xml:space="preserve">EU </w:t>
      </w:r>
      <w:proofErr w:type="spellStart"/>
      <w:r w:rsidRPr="00EF37C2">
        <w:rPr>
          <w:rFonts w:ascii="Times New Roman" w:hAnsi="Times New Roman" w:cs="Times New Roman"/>
          <w:i/>
          <w:iCs/>
          <w:sz w:val="20"/>
          <w:szCs w:val="20"/>
        </w:rPr>
        <w:t>Guidelines</w:t>
      </w:r>
      <w:proofErr w:type="spellEnd"/>
      <w:r w:rsidRPr="00EF37C2">
        <w:rPr>
          <w:rFonts w:ascii="Times New Roman" w:hAnsi="Times New Roman" w:cs="Times New Roman"/>
          <w:i/>
          <w:iCs/>
          <w:sz w:val="20"/>
          <w:szCs w:val="20"/>
        </w:rPr>
        <w:t xml:space="preserve"> on Dual</w:t>
      </w:r>
      <w:r w:rsidRPr="00EF37C2">
        <w:rPr>
          <w:i/>
          <w:iCs/>
          <w:sz w:val="20"/>
          <w:szCs w:val="20"/>
        </w:rPr>
        <w:t xml:space="preserve"> </w:t>
      </w:r>
      <w:proofErr w:type="spellStart"/>
      <w:r w:rsidRPr="00EF37C2">
        <w:rPr>
          <w:rFonts w:ascii="Times New Roman" w:hAnsi="Times New Roman" w:cs="Times New Roman"/>
          <w:i/>
          <w:iCs/>
          <w:sz w:val="20"/>
          <w:szCs w:val="20"/>
        </w:rPr>
        <w:t>Careers</w:t>
      </w:r>
      <w:proofErr w:type="spellEnd"/>
      <w:r w:rsidRPr="00EF37C2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EF37C2">
        <w:rPr>
          <w:rFonts w:ascii="Times New Roman" w:hAnsi="Times New Roman" w:cs="Times New Roman"/>
          <w:i/>
          <w:iCs/>
          <w:sz w:val="20"/>
          <w:szCs w:val="20"/>
        </w:rPr>
        <w:t>Athletes</w:t>
      </w:r>
      <w:proofErr w:type="spellEnd"/>
      <w:r w:rsidRPr="00EF37C2">
        <w:rPr>
          <w:rFonts w:ascii="Times New Roman" w:hAnsi="Times New Roman" w:cs="Times New Roman"/>
          <w:sz w:val="20"/>
          <w:szCs w:val="20"/>
        </w:rPr>
        <w:t>”, approvate dal Gruppo di esperti UE “</w:t>
      </w:r>
      <w:proofErr w:type="spellStart"/>
      <w:r w:rsidRPr="00EF37C2">
        <w:rPr>
          <w:rFonts w:ascii="Times New Roman" w:hAnsi="Times New Roman" w:cs="Times New Roman"/>
          <w:i/>
          <w:iCs/>
          <w:sz w:val="20"/>
          <w:szCs w:val="20"/>
        </w:rPr>
        <w:t>Education</w:t>
      </w:r>
      <w:proofErr w:type="spellEnd"/>
      <w:r w:rsidRPr="00EF37C2">
        <w:rPr>
          <w:rFonts w:ascii="Times New Roman" w:hAnsi="Times New Roman" w:cs="Times New Roman"/>
          <w:i/>
          <w:iCs/>
          <w:sz w:val="20"/>
          <w:szCs w:val="20"/>
        </w:rPr>
        <w:t xml:space="preserve"> &amp; training in Sport</w:t>
      </w:r>
      <w:r w:rsidRPr="00EF37C2">
        <w:rPr>
          <w:rFonts w:ascii="Times New Roman" w:hAnsi="Times New Roman" w:cs="Times New Roman"/>
          <w:sz w:val="20"/>
          <w:szCs w:val="20"/>
        </w:rPr>
        <w:t xml:space="preserve">” nella riunione di Poznan il 28 settembre 2012, riconosciute di generale accettazione.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>In Italia, la legge 107/2015, al fine di favorire il rafforzamento dell’attività fisica e sportiva a scuola, individua, all’articolo 1, comma 7, lettera g), tra gli obiettivi formativi prioritari che devono raggiungere le istituzioni scolastiche, quello di porre “</w:t>
      </w:r>
      <w:r w:rsidRPr="009537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attenzione alla tutela del diritto allo studio degli studenti praticanti attività sportiva agonistica</w:t>
      </w: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”.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Con il Decreto Ministeriale n. 935 dell’11 dicembre 2015, il </w:t>
      </w:r>
      <w:proofErr w:type="spellStart"/>
      <w:r w:rsidRPr="00953715">
        <w:rPr>
          <w:rFonts w:ascii="Times New Roman" w:hAnsi="Times New Roman" w:cs="Times New Roman"/>
          <w:color w:val="000000"/>
          <w:sz w:val="20"/>
          <w:szCs w:val="20"/>
        </w:rPr>
        <w:t>Miur</w:t>
      </w:r>
      <w:proofErr w:type="spellEnd"/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ha inteso garantire la possibilità che le istituzioni scolastiche interessate possano prendere parte ad un “</w:t>
      </w:r>
      <w:r w:rsidRPr="009537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Programma sperimentale, mirato ad individuare un modello di formazione per sviluppare una didattica innovativa supportata dalle tecnologie digitali e relativa valutazione, dedicata a tutti gli studenti-atleti di alto livello iscritti negli istituti secondari di secondo grado statali e paritari del territorio nazionale</w:t>
      </w:r>
      <w:r w:rsidRPr="00953715">
        <w:rPr>
          <w:rFonts w:ascii="Times New Roman" w:hAnsi="Times New Roman" w:cs="Times New Roman"/>
          <w:color w:val="000000"/>
          <w:sz w:val="20"/>
          <w:szCs w:val="20"/>
        </w:rPr>
        <w:t>” con l’obiettivo del “</w:t>
      </w:r>
      <w:r w:rsidRPr="009537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superamento delle criticità della formazione scolastica degli studenti-atleti, soprattutto riferibili alle difficoltà che questi incontrano nel frequentare regolarmente le lezioni scolastiche</w:t>
      </w: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”.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>L’apposita Commissione prevista dal citato Decreto Ministeriale, composta da rappresentanti del MIUR, del CONI, del CIP e della Lega Calcio di serie A, ha identificato le categorie di studenti-atleti ammissibili alla sperimentazione, riconducendoli alle seguenti quattro tipologie di atleti cosiddetti di “</w:t>
      </w:r>
      <w:r w:rsidRPr="00953715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Alto livello</w:t>
      </w: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”: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a. Rappresentanti delle nazionali partecipanti a competizioni internazionali;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b. Per gli sport individuali, atleti compresi tra i primi 12 posti della classifica nazionale di categoria giovanile all'inizio dell'anno scolastico di riferimento;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c. Atleti delle Società degli sport professionisti di squadra di cui alla legge 91/1981 che partecipano ai seguenti campionati: Calcio (serie A, serie B, Lega Pro, Primavera, Under 17 serie A e B, Berretti); Basket (A1/ Under 20 élite, Under 20 eccellenza);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d. Studenti coinvolti nella preparazione ai Giochi Olimpici e </w:t>
      </w:r>
      <w:proofErr w:type="spellStart"/>
      <w:r w:rsidRPr="00953715">
        <w:rPr>
          <w:rFonts w:ascii="Times New Roman" w:hAnsi="Times New Roman" w:cs="Times New Roman"/>
          <w:color w:val="000000"/>
          <w:sz w:val="20"/>
          <w:szCs w:val="20"/>
        </w:rPr>
        <w:t>Paralimpici</w:t>
      </w:r>
      <w:proofErr w:type="spellEnd"/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Invernali di </w:t>
      </w:r>
      <w:proofErr w:type="spellStart"/>
      <w:r w:rsidRPr="00953715">
        <w:rPr>
          <w:rFonts w:ascii="Times New Roman" w:hAnsi="Times New Roman" w:cs="Times New Roman"/>
          <w:color w:val="000000"/>
          <w:sz w:val="20"/>
          <w:szCs w:val="20"/>
        </w:rPr>
        <w:t>Pyeongchang</w:t>
      </w:r>
      <w:proofErr w:type="spellEnd"/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2018, ai Giochi Olimpici e </w:t>
      </w:r>
      <w:proofErr w:type="spellStart"/>
      <w:r w:rsidRPr="00953715">
        <w:rPr>
          <w:rFonts w:ascii="Times New Roman" w:hAnsi="Times New Roman" w:cs="Times New Roman"/>
          <w:color w:val="000000"/>
          <w:sz w:val="20"/>
          <w:szCs w:val="20"/>
        </w:rPr>
        <w:t>Paralimpici</w:t>
      </w:r>
      <w:proofErr w:type="spellEnd"/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estivi di Tokio 2020, ai Giochi Olimpici e </w:t>
      </w:r>
      <w:proofErr w:type="spellStart"/>
      <w:r w:rsidRPr="00953715">
        <w:rPr>
          <w:rFonts w:ascii="Times New Roman" w:hAnsi="Times New Roman" w:cs="Times New Roman"/>
          <w:color w:val="000000"/>
          <w:sz w:val="20"/>
          <w:szCs w:val="20"/>
        </w:rPr>
        <w:t>Paralimpici</w:t>
      </w:r>
      <w:proofErr w:type="spellEnd"/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giovanili estivi di Buenos Aires 2018, ai Giochi Olimpici e </w:t>
      </w:r>
      <w:proofErr w:type="spellStart"/>
      <w:r w:rsidRPr="00953715">
        <w:rPr>
          <w:rFonts w:ascii="Times New Roman" w:hAnsi="Times New Roman" w:cs="Times New Roman"/>
          <w:color w:val="000000"/>
          <w:sz w:val="20"/>
          <w:szCs w:val="20"/>
        </w:rPr>
        <w:t>Paralimpici</w:t>
      </w:r>
      <w:proofErr w:type="spellEnd"/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giovanili invernali di Losanna 2020, ovvero ciascuno studente riconosciuto “Atleta di Interesse Nazionale” dalla Federazione o dalle Discipline Sportive Associate o Lega professionistica di riferimento.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In data </w:t>
      </w:r>
      <w:r w:rsidRPr="00953715">
        <w:rPr>
          <w:rFonts w:ascii="Times New Roman" w:hAnsi="Times New Roman" w:cs="Times New Roman"/>
          <w:color w:val="000000"/>
          <w:sz w:val="20"/>
          <w:szCs w:val="20"/>
          <w:u w:val="single"/>
        </w:rPr>
        <w:t>28 novembre 2016 il MIUR ed il CONI</w:t>
      </w: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hanno, inoltre, rinnovato il </w:t>
      </w:r>
      <w:r w:rsidRPr="00953715">
        <w:rPr>
          <w:rFonts w:ascii="Times New Roman" w:hAnsi="Times New Roman" w:cs="Times New Roman"/>
          <w:color w:val="000000"/>
          <w:sz w:val="20"/>
          <w:szCs w:val="20"/>
          <w:u w:val="single"/>
        </w:rPr>
        <w:t>Protocollo d’intesa</w:t>
      </w: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relativo al piano triennale per l’educazione sportiva in classe, nel quale, tra le misure programmate per aumentare la pratica motoria e sportiva in aula, è previsto lo sviluppo di strumenti per il sostegno degli </w:t>
      </w:r>
      <w:r w:rsidRPr="00953715">
        <w:rPr>
          <w:rFonts w:ascii="Times New Roman" w:hAnsi="Times New Roman" w:cs="Times New Roman"/>
          <w:color w:val="000000"/>
          <w:sz w:val="20"/>
          <w:szCs w:val="20"/>
          <w:u w:val="single"/>
        </w:rPr>
        <w:t>studenti atleti di “</w:t>
      </w:r>
      <w:r w:rsidRPr="00953715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>Alto livello</w:t>
      </w:r>
      <w:r w:rsidRPr="00953715">
        <w:rPr>
          <w:rFonts w:ascii="Times New Roman" w:hAnsi="Times New Roman" w:cs="Times New Roman"/>
          <w:color w:val="000000"/>
          <w:sz w:val="20"/>
          <w:szCs w:val="20"/>
          <w:u w:val="single"/>
        </w:rPr>
        <w:t>”</w:t>
      </w: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nella scuola secondaria di secondo grado, ivi compresi quelli afferenti le esperienze di alternanza scuola lavoro.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Coerentemente con il quadro di riferimento comunitario e nazionale sopra indicato, per </w:t>
      </w:r>
      <w:r w:rsidRPr="00953715">
        <w:rPr>
          <w:rFonts w:ascii="Times New Roman" w:hAnsi="Times New Roman" w:cs="Times New Roman"/>
          <w:color w:val="FF0000"/>
          <w:sz w:val="20"/>
          <w:szCs w:val="20"/>
          <w:u w:val="single"/>
        </w:rPr>
        <w:t>gli studenti-atleti di “</w:t>
      </w:r>
      <w:r w:rsidRPr="00953715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  <w:t>Alto livello</w:t>
      </w:r>
      <w:r w:rsidRPr="00953715">
        <w:rPr>
          <w:rFonts w:ascii="Times New Roman" w:hAnsi="Times New Roman" w:cs="Times New Roman"/>
          <w:color w:val="FF0000"/>
          <w:sz w:val="20"/>
          <w:szCs w:val="20"/>
          <w:u w:val="single"/>
        </w:rPr>
        <w:t>”</w:t>
      </w:r>
      <w:r w:rsidRPr="00953715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frequentanti le classi terze, quarte e quinte</w:t>
      </w: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dei percorsi di studio della scuola secondaria di secondo grado - previa attestazione dell’appartenenza del giovane ad una delle suddette categorie di atleti da parte della Federazione sportiva di riferimento - </w:t>
      </w:r>
      <w:r w:rsidRPr="00953715">
        <w:rPr>
          <w:rFonts w:ascii="Times New Roman" w:hAnsi="Times New Roman" w:cs="Times New Roman"/>
          <w:color w:val="000000"/>
          <w:sz w:val="20"/>
          <w:szCs w:val="20"/>
          <w:u w:val="single"/>
        </w:rPr>
        <w:t>le attività di alternanza scuola lavoro potranno comprendere gli impegni sportivi, sulla base di un progetto formativo personalizzato condiviso tra la scuola di appartenenza e l’ente, Federazione, società o associazione sportiva riconosciuti dal CONI che segue il percorso atletico dello studente.</w:t>
      </w: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Le attività sportive praticate ad alto livello, per l’intensità dell’impegno e della motivazione, per il livello di responsabilità e per le sollecitazioni psico-fisiche ad esse sottese, possono contribuire allo sviluppo di adeguate competenze nelle seguenti aree di riferimento: </w:t>
      </w:r>
    </w:p>
    <w:p w:rsidR="00953715" w:rsidRPr="00953715" w:rsidRDefault="00EF37C2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7C2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953715"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 Influenza/leadership: </w:t>
      </w:r>
    </w:p>
    <w:p w:rsidR="00953715" w:rsidRPr="00953715" w:rsidRDefault="00953715" w:rsidP="00EF37C2">
      <w:pPr>
        <w:autoSpaceDE w:val="0"/>
        <w:autoSpaceDN w:val="0"/>
        <w:adjustRightInd w:val="0"/>
        <w:spacing w:after="27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- Lavoro di squadra/team building </w:t>
      </w:r>
    </w:p>
    <w:p w:rsidR="00953715" w:rsidRPr="00953715" w:rsidRDefault="00953715" w:rsidP="00EF37C2">
      <w:pPr>
        <w:autoSpaceDE w:val="0"/>
        <w:autoSpaceDN w:val="0"/>
        <w:adjustRightInd w:val="0"/>
        <w:spacing w:after="27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- Leadership </w:t>
      </w:r>
    </w:p>
    <w:p w:rsidR="00953715" w:rsidRPr="00EF37C2" w:rsidRDefault="00953715" w:rsidP="00EF37C2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3715">
        <w:rPr>
          <w:rFonts w:ascii="Times New Roman" w:hAnsi="Times New Roman" w:cs="Times New Roman"/>
          <w:color w:val="000000"/>
          <w:sz w:val="20"/>
          <w:szCs w:val="20"/>
        </w:rPr>
        <w:t xml:space="preserve">- Gestione conflitti </w:t>
      </w:r>
    </w:p>
    <w:p w:rsidR="00953715" w:rsidRPr="00953715" w:rsidRDefault="00EF37C2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7C2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953715" w:rsidRPr="00953715">
        <w:rPr>
          <w:rFonts w:ascii="Times New Roman" w:hAnsi="Times New Roman" w:cs="Times New Roman"/>
          <w:sz w:val="20"/>
          <w:szCs w:val="20"/>
        </w:rPr>
        <w:t xml:space="preserve"> Managerialità/gestione: </w:t>
      </w:r>
    </w:p>
    <w:p w:rsidR="00953715" w:rsidRPr="00953715" w:rsidRDefault="00953715" w:rsidP="00EF37C2">
      <w:pPr>
        <w:autoSpaceDE w:val="0"/>
        <w:autoSpaceDN w:val="0"/>
        <w:adjustRightInd w:val="0"/>
        <w:spacing w:after="27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53715">
        <w:rPr>
          <w:rFonts w:ascii="Times New Roman" w:hAnsi="Times New Roman" w:cs="Times New Roman"/>
          <w:sz w:val="20"/>
          <w:szCs w:val="20"/>
        </w:rPr>
        <w:t xml:space="preserve">- Pianificazione e organizzazione </w:t>
      </w:r>
    </w:p>
    <w:p w:rsidR="00953715" w:rsidRPr="00953715" w:rsidRDefault="00953715" w:rsidP="00EF37C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53715">
        <w:rPr>
          <w:rFonts w:ascii="Times New Roman" w:hAnsi="Times New Roman" w:cs="Times New Roman"/>
          <w:sz w:val="20"/>
          <w:szCs w:val="20"/>
        </w:rPr>
        <w:t xml:space="preserve">- Controllo e monitoraggio </w:t>
      </w:r>
    </w:p>
    <w:p w:rsidR="00953715" w:rsidRPr="00953715" w:rsidRDefault="00EF37C2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7C2">
        <w:rPr>
          <w:rFonts w:ascii="Times New Roman" w:hAnsi="Times New Roman" w:cs="Times New Roman"/>
          <w:sz w:val="20"/>
          <w:szCs w:val="20"/>
        </w:rPr>
        <w:t xml:space="preserve">- </w:t>
      </w:r>
      <w:r w:rsidR="00953715" w:rsidRPr="00953715">
        <w:rPr>
          <w:rFonts w:ascii="Times New Roman" w:hAnsi="Times New Roman" w:cs="Times New Roman"/>
          <w:sz w:val="20"/>
          <w:szCs w:val="20"/>
        </w:rPr>
        <w:t xml:space="preserve">Pensiero sistemico </w:t>
      </w:r>
    </w:p>
    <w:p w:rsidR="00953715" w:rsidRPr="00953715" w:rsidRDefault="00953715" w:rsidP="00EF37C2">
      <w:pPr>
        <w:autoSpaceDE w:val="0"/>
        <w:autoSpaceDN w:val="0"/>
        <w:adjustRightInd w:val="0"/>
        <w:spacing w:after="27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53715">
        <w:rPr>
          <w:rFonts w:ascii="Times New Roman" w:hAnsi="Times New Roman" w:cs="Times New Roman"/>
          <w:sz w:val="20"/>
          <w:szCs w:val="20"/>
        </w:rPr>
        <w:t xml:space="preserve">- Visione d’insieme </w:t>
      </w:r>
    </w:p>
    <w:p w:rsidR="00953715" w:rsidRPr="00953715" w:rsidRDefault="00953715" w:rsidP="00EF37C2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953715">
        <w:rPr>
          <w:rFonts w:ascii="Times New Roman" w:hAnsi="Times New Roman" w:cs="Times New Roman"/>
          <w:sz w:val="20"/>
          <w:szCs w:val="20"/>
        </w:rPr>
        <w:t xml:space="preserve">- Assunzione del rischio/decisione </w:t>
      </w:r>
    </w:p>
    <w:p w:rsidR="00953715" w:rsidRPr="00953715" w:rsidRDefault="00EF37C2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7C2">
        <w:rPr>
          <w:rFonts w:ascii="Times New Roman" w:hAnsi="Times New Roman" w:cs="Times New Roman"/>
          <w:sz w:val="20"/>
          <w:szCs w:val="20"/>
        </w:rPr>
        <w:t xml:space="preserve">- </w:t>
      </w:r>
      <w:r w:rsidR="00953715" w:rsidRPr="00953715">
        <w:rPr>
          <w:rFonts w:ascii="Times New Roman" w:hAnsi="Times New Roman" w:cs="Times New Roman"/>
          <w:sz w:val="20"/>
          <w:szCs w:val="20"/>
        </w:rPr>
        <w:t xml:space="preserve">Comportamento/persona </w:t>
      </w:r>
    </w:p>
    <w:p w:rsidR="00953715" w:rsidRPr="00953715" w:rsidRDefault="00953715" w:rsidP="00EF37C2">
      <w:pPr>
        <w:autoSpaceDE w:val="0"/>
        <w:autoSpaceDN w:val="0"/>
        <w:adjustRightInd w:val="0"/>
        <w:spacing w:after="27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953715">
        <w:rPr>
          <w:rFonts w:ascii="Times New Roman" w:hAnsi="Times New Roman" w:cs="Times New Roman"/>
          <w:sz w:val="20"/>
          <w:szCs w:val="20"/>
        </w:rPr>
        <w:t xml:space="preserve">- Energia </w:t>
      </w:r>
    </w:p>
    <w:p w:rsidR="00953715" w:rsidRPr="00953715" w:rsidRDefault="00953715" w:rsidP="00EF37C2">
      <w:pPr>
        <w:autoSpaceDE w:val="0"/>
        <w:autoSpaceDN w:val="0"/>
        <w:adjustRightInd w:val="0"/>
        <w:spacing w:after="27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953715">
        <w:rPr>
          <w:rFonts w:ascii="Times New Roman" w:hAnsi="Times New Roman" w:cs="Times New Roman"/>
          <w:sz w:val="20"/>
          <w:szCs w:val="20"/>
        </w:rPr>
        <w:t xml:space="preserve">- Integrità </w:t>
      </w:r>
    </w:p>
    <w:p w:rsidR="00953715" w:rsidRPr="00953715" w:rsidRDefault="00953715" w:rsidP="00EF37C2">
      <w:pPr>
        <w:autoSpaceDE w:val="0"/>
        <w:autoSpaceDN w:val="0"/>
        <w:adjustRightInd w:val="0"/>
        <w:spacing w:after="27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953715">
        <w:rPr>
          <w:rFonts w:ascii="Times New Roman" w:hAnsi="Times New Roman" w:cs="Times New Roman"/>
          <w:sz w:val="20"/>
          <w:szCs w:val="20"/>
        </w:rPr>
        <w:t xml:space="preserve">- Tensione al risultato </w:t>
      </w:r>
    </w:p>
    <w:p w:rsidR="00953715" w:rsidRPr="00953715" w:rsidRDefault="00953715" w:rsidP="00EF37C2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0"/>
          <w:szCs w:val="20"/>
        </w:rPr>
      </w:pPr>
      <w:r w:rsidRPr="00953715">
        <w:rPr>
          <w:rFonts w:ascii="Times New Roman" w:hAnsi="Times New Roman" w:cs="Times New Roman"/>
          <w:sz w:val="20"/>
          <w:szCs w:val="20"/>
        </w:rPr>
        <w:t xml:space="preserve">- Tolleranza allo stress </w:t>
      </w:r>
    </w:p>
    <w:p w:rsidR="00953715" w:rsidRPr="00953715" w:rsidRDefault="00953715" w:rsidP="009537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715" w:rsidRPr="00EF37C2" w:rsidRDefault="00953715" w:rsidP="00953715">
      <w:pPr>
        <w:pStyle w:val="Default"/>
        <w:jc w:val="both"/>
        <w:rPr>
          <w:sz w:val="20"/>
          <w:szCs w:val="20"/>
        </w:rPr>
      </w:pPr>
      <w:r w:rsidRPr="00EF37C2">
        <w:rPr>
          <w:rFonts w:ascii="Times New Roman" w:hAnsi="Times New Roman" w:cs="Times New Roman"/>
          <w:color w:val="auto"/>
          <w:sz w:val="20"/>
          <w:szCs w:val="20"/>
        </w:rPr>
        <w:t>In aderenza con quanto riportato nella Guida operativa emanata dal MIUR, una Convenzione dovrà regolare i rapporti tra la scuola e la struttura ospitante, identificata con l’ente, Federazione, società o associazione sportiva riconosciuti dal CONI che segue il percorso atletico dello studente, la quale provvederà a designare il tutor esterno con il compito di assicurare il raccordo tra quest’ultima e l’istituzione scolastica. Particolare attenzione dovrà essere dedicata alla formazione specifica sulla salute e sicurezza negli ambienti in cui si volgono le attività atletiche ed ai rischi specifici legati all’utilizzo di strumenti e attrezzature sportive.</w:t>
      </w:r>
    </w:p>
    <w:p w:rsidR="00953715" w:rsidRPr="00EF37C2" w:rsidRDefault="00953715" w:rsidP="00953715">
      <w:pPr>
        <w:pStyle w:val="Default"/>
        <w:jc w:val="both"/>
        <w:rPr>
          <w:rFonts w:ascii="Times New Roman" w:hAnsi="Times New Roman" w:cs="Times New Roman"/>
          <w:b/>
        </w:rPr>
      </w:pPr>
    </w:p>
    <w:p w:rsidR="00E668F0" w:rsidRPr="00EF37C2" w:rsidRDefault="00E668F0" w:rsidP="00E668F0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 w:rsidRPr="00EF37C2">
        <w:rPr>
          <w:rFonts w:ascii="Times New Roman" w:hAnsi="Times New Roman" w:cs="Times New Roman"/>
          <w:b/>
          <w:color w:val="FF0000"/>
        </w:rPr>
        <w:t xml:space="preserve">nota </w:t>
      </w:r>
      <w:r w:rsidRPr="00EF37C2">
        <w:rPr>
          <w:rFonts w:ascii="Times New Roman" w:hAnsi="Times New Roman" w:cs="Times New Roman"/>
          <w:b/>
          <w:bCs/>
          <w:color w:val="FF0000"/>
        </w:rPr>
        <w:t>MIUR.AOODGOSV.REGISTRO UFFICIALE(U).0007194 del 24-04-2018</w:t>
      </w:r>
    </w:p>
    <w:p w:rsidR="00E668F0" w:rsidRPr="00E668F0" w:rsidRDefault="00E668F0" w:rsidP="00EF37C2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EF37C2">
        <w:rPr>
          <w:rFonts w:ascii="Times New Roman" w:hAnsi="Times New Roman" w:cs="Times New Roman"/>
          <w:b/>
          <w:bCs/>
        </w:rPr>
        <w:t>punto 3</w:t>
      </w:r>
      <w:r w:rsidRPr="00E668F0">
        <w:rPr>
          <w:rFonts w:ascii="Times New Roman" w:hAnsi="Times New Roman" w:cs="Times New Roman"/>
          <w:b/>
          <w:bCs/>
          <w:sz w:val="23"/>
          <w:szCs w:val="23"/>
        </w:rPr>
        <w:t xml:space="preserve"> Novità e aggiornamenti in tema di attività di alternanza scuola lavoro per gli studenti atleti di alto livello agonistico </w:t>
      </w:r>
    </w:p>
    <w:p w:rsidR="00E668F0" w:rsidRPr="00EF37C2" w:rsidRDefault="00E668F0" w:rsidP="00EF37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37C2">
        <w:rPr>
          <w:rFonts w:ascii="Times New Roman" w:hAnsi="Times New Roman" w:cs="Times New Roman"/>
          <w:color w:val="000000"/>
          <w:sz w:val="20"/>
          <w:szCs w:val="20"/>
        </w:rPr>
        <w:t xml:space="preserve">Questo Ministero ha avuto modo di chiarire, con la nota AOODGOSV </w:t>
      </w:r>
      <w:proofErr w:type="spellStart"/>
      <w:r w:rsidRPr="00EF37C2">
        <w:rPr>
          <w:rFonts w:ascii="Times New Roman" w:hAnsi="Times New Roman" w:cs="Times New Roman"/>
          <w:color w:val="000000"/>
          <w:sz w:val="20"/>
          <w:szCs w:val="20"/>
        </w:rPr>
        <w:t>prot</w:t>
      </w:r>
      <w:proofErr w:type="spellEnd"/>
      <w:r w:rsidRPr="00EF37C2">
        <w:rPr>
          <w:rFonts w:ascii="Times New Roman" w:hAnsi="Times New Roman" w:cs="Times New Roman"/>
          <w:color w:val="000000"/>
          <w:sz w:val="20"/>
          <w:szCs w:val="20"/>
        </w:rPr>
        <w:t>. n. 3355 del 28 marzo 2017, la riconducibilità alle attività di alternanza scuola lavoro delle attività sportive praticate ai massimi livelli agonistici da parte degli studenti-atleti di “</w:t>
      </w:r>
      <w:r w:rsidRPr="00EF37C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Alto livello</w:t>
      </w:r>
      <w:r w:rsidRPr="00EF37C2">
        <w:rPr>
          <w:rFonts w:ascii="Times New Roman" w:hAnsi="Times New Roman" w:cs="Times New Roman"/>
          <w:color w:val="000000"/>
          <w:sz w:val="20"/>
          <w:szCs w:val="20"/>
        </w:rPr>
        <w:t>” frequentanti le classi terze, quarte e quinte dei percorsi di studio della scuola secondaria di secondo grado, coerentemente con quanto previsto dal Programma sperimentale di cui al decreto ministeriale 11 dicembre 2015, n. 935. ……..</w:t>
      </w:r>
    </w:p>
    <w:p w:rsidR="00E668F0" w:rsidRDefault="00E668F0" w:rsidP="00E668F0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F37C2" w:rsidRPr="00EF37C2" w:rsidRDefault="00E668F0" w:rsidP="00E668F0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proofErr w:type="spellStart"/>
      <w:r w:rsidRPr="00EF37C2">
        <w:rPr>
          <w:b/>
          <w:sz w:val="24"/>
          <w:szCs w:val="24"/>
        </w:rPr>
        <w:t>m_pi.AOODGSIP.REGISTRO</w:t>
      </w:r>
      <w:proofErr w:type="spellEnd"/>
      <w:r w:rsidRPr="00EF37C2">
        <w:rPr>
          <w:b/>
          <w:sz w:val="24"/>
          <w:szCs w:val="24"/>
        </w:rPr>
        <w:t xml:space="preserve"> UFFICIALE(U).0004322.</w:t>
      </w:r>
      <w:r w:rsidR="00EF37C2" w:rsidRPr="00EF37C2">
        <w:rPr>
          <w:b/>
          <w:sz w:val="24"/>
          <w:szCs w:val="24"/>
        </w:rPr>
        <w:t xml:space="preserve">del    </w:t>
      </w:r>
      <w:r w:rsidRPr="00EF37C2">
        <w:rPr>
          <w:b/>
          <w:sz w:val="24"/>
          <w:szCs w:val="24"/>
        </w:rPr>
        <w:t xml:space="preserve">04-10-2019 </w:t>
      </w:r>
    </w:p>
    <w:p w:rsidR="00E668F0" w:rsidRPr="00EF37C2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F37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Progetto didattico sperimentale studente-atleta di alto livello - D.M. 10 aprile 2018, n. 279.</w:t>
      </w:r>
    </w:p>
    <w:p w:rsidR="00E668F0" w:rsidRPr="00EF37C2" w:rsidRDefault="00E668F0" w:rsidP="00E668F0">
      <w:pPr>
        <w:spacing w:after="0" w:line="360" w:lineRule="auto"/>
        <w:rPr>
          <w:color w:val="FF0000"/>
          <w:sz w:val="24"/>
          <w:szCs w:val="24"/>
        </w:rPr>
      </w:pPr>
      <w:proofErr w:type="spellStart"/>
      <w:r w:rsidRPr="00EF37C2">
        <w:rPr>
          <w:rFonts w:ascii="Times New Roman" w:hAnsi="Times New Roman" w:cs="Times New Roman"/>
          <w:b/>
          <w:bCs/>
          <w:color w:val="FF0000"/>
          <w:sz w:val="24"/>
          <w:szCs w:val="24"/>
        </w:rPr>
        <w:t>A.s.</w:t>
      </w:r>
      <w:proofErr w:type="spellEnd"/>
      <w:r w:rsidRPr="00EF37C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2019 - 2020.</w:t>
      </w:r>
    </w:p>
    <w:p w:rsidR="00E668F0" w:rsidRPr="00EF37C2" w:rsidRDefault="00EF37C2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</w:rPr>
      </w:pPr>
      <w:r w:rsidRPr="00EF37C2">
        <w:rPr>
          <w:rFonts w:ascii="Times New Roman" w:hAnsi="Times New Roman" w:cs="Times New Roman"/>
          <w:b/>
          <w:bCs/>
        </w:rPr>
        <w:t>Aggiornamento</w:t>
      </w:r>
      <w:r w:rsidRPr="00EF37C2">
        <w:rPr>
          <w:rFonts w:ascii="Times New Roman" w:hAnsi="Times New Roman" w:cs="Times New Roman"/>
          <w:b/>
          <w:bCs/>
          <w:color w:val="C10000"/>
        </w:rPr>
        <w:t xml:space="preserve"> </w:t>
      </w:r>
      <w:r>
        <w:rPr>
          <w:rFonts w:ascii="Times New Roman" w:hAnsi="Times New Roman" w:cs="Times New Roman"/>
          <w:b/>
          <w:bCs/>
          <w:color w:val="C10000"/>
        </w:rPr>
        <w:t xml:space="preserve"> </w:t>
      </w:r>
      <w:r>
        <w:rPr>
          <w:rFonts w:ascii="Times New Roman" w:hAnsi="Times New Roman" w:cs="Times New Roman"/>
          <w:b/>
          <w:bCs/>
          <w:color w:val="404040"/>
        </w:rPr>
        <w:t xml:space="preserve">Anno Scolastico 2019/2020   </w:t>
      </w:r>
      <w:r w:rsidR="00E668F0" w:rsidRPr="00EF37C2">
        <w:rPr>
          <w:rFonts w:ascii="Times New Roman" w:hAnsi="Times New Roman" w:cs="Times New Roman"/>
          <w:b/>
          <w:bCs/>
          <w:color w:val="C10000"/>
        </w:rPr>
        <w:t xml:space="preserve">REQUISITI DI AMMISSIONE AL PROGETTO STUDENTE - </w:t>
      </w:r>
      <w:r>
        <w:rPr>
          <w:rFonts w:ascii="Times New Roman" w:hAnsi="Times New Roman" w:cs="Times New Roman"/>
          <w:b/>
          <w:bCs/>
          <w:color w:val="C10000"/>
        </w:rPr>
        <w:t xml:space="preserve">ATLETA DI ALTO LIVELLO   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Aderiscono alla sperimentazione gli studenti-atleti: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1. Rappresentanti delle Nazionali assolute e/o delle relative categorie giovanili.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6955D5">
        <w:rPr>
          <w:rFonts w:ascii="Times New Roman,Italic" w:hAnsi="Times New Roman,Italic" w:cs="Times New Roman,Italic"/>
          <w:i/>
          <w:iCs/>
          <w:color w:val="000000"/>
        </w:rPr>
        <w:t xml:space="preserve">L’attestazione sarà rilasciata esclusivamente dalla Federazione </w:t>
      </w:r>
      <w:r w:rsidRPr="006955D5">
        <w:rPr>
          <w:rFonts w:ascii="Times New Roman" w:hAnsi="Times New Roman" w:cs="Times New Roman"/>
          <w:i/>
          <w:iCs/>
          <w:color w:val="000000"/>
        </w:rPr>
        <w:t>Sportiva Nazionale di riferimento.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 xml:space="preserve">2. Atleti coinvolti nella preparazione dei Giochi Olimpici, </w:t>
      </w:r>
      <w:proofErr w:type="spellStart"/>
      <w:r w:rsidRPr="006955D5">
        <w:rPr>
          <w:rFonts w:ascii="Times New Roman" w:hAnsi="Times New Roman" w:cs="Times New Roman"/>
          <w:b/>
          <w:bCs/>
          <w:color w:val="000000"/>
        </w:rPr>
        <w:t>Paralimpici</w:t>
      </w:r>
      <w:proofErr w:type="spellEnd"/>
      <w:r w:rsidRPr="006955D5">
        <w:rPr>
          <w:rFonts w:ascii="Times New Roman" w:hAnsi="Times New Roman" w:cs="Times New Roman"/>
          <w:b/>
          <w:bCs/>
          <w:color w:val="000000"/>
        </w:rPr>
        <w:t xml:space="preserve"> e Giovanili (estivi ed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invernali).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  <w:r w:rsidRPr="006955D5">
        <w:rPr>
          <w:rFonts w:ascii="Times New Roman,Italic" w:hAnsi="Times New Roman,Italic" w:cs="Times New Roman,Italic"/>
          <w:i/>
          <w:iCs/>
          <w:color w:val="000000"/>
        </w:rPr>
        <w:t>L’attestazione sarà rilasciata esclusivamente dalla Federazione Sportiva di riferimento.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6955D5">
        <w:rPr>
          <w:rFonts w:ascii="Times New Roman,Bold" w:hAnsi="Times New Roman,Bold" w:cs="Times New Roman,Bold"/>
          <w:b/>
          <w:bCs/>
          <w:color w:val="000000"/>
        </w:rPr>
        <w:t>Studente riconosciuto quale “Atleta di Interesse Nazionale” dalla Federazione S</w:t>
      </w:r>
      <w:r w:rsidRPr="006955D5">
        <w:rPr>
          <w:rFonts w:ascii="Times New Roman" w:hAnsi="Times New Roman" w:cs="Times New Roman"/>
          <w:b/>
          <w:bCs/>
          <w:color w:val="000000"/>
        </w:rPr>
        <w:t>portiva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Nazionale o dalle Discipline Sportive Associate di riferimento.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  <w:r w:rsidRPr="006955D5">
        <w:rPr>
          <w:rFonts w:ascii="Times New Roman,Italic" w:hAnsi="Times New Roman,Italic" w:cs="Times New Roman,Italic"/>
          <w:i/>
          <w:iCs/>
          <w:color w:val="000000"/>
        </w:rPr>
        <w:t>L’attestazione sarà rilasciata esclusivamente dalla Federazione Sportiva di riferimento.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 xml:space="preserve">4. Per gli sport individuali, atleti compresi tra i primi 36 posti della classifica nazionale </w:t>
      </w:r>
      <w:r w:rsidRPr="006955D5">
        <w:rPr>
          <w:rFonts w:ascii="Times New Roman" w:hAnsi="Times New Roman" w:cs="Times New Roman"/>
          <w:color w:val="000000"/>
        </w:rPr>
        <w:t>per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5D5">
        <w:rPr>
          <w:rFonts w:ascii="Times New Roman" w:hAnsi="Times New Roman" w:cs="Times New Roman"/>
          <w:color w:val="000000"/>
        </w:rPr>
        <w:t>ogni categoria corrispondente agli anni di iscrizione alla scuola secondaria di secondo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5D5">
        <w:rPr>
          <w:rFonts w:ascii="Times New Roman" w:hAnsi="Times New Roman" w:cs="Times New Roman"/>
          <w:color w:val="000000"/>
        </w:rPr>
        <w:t>grado, all'inizio dell'anno scolastico di riferimento.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</w:rPr>
      </w:pPr>
      <w:r w:rsidRPr="006955D5">
        <w:rPr>
          <w:rFonts w:ascii="Times New Roman,Italic" w:hAnsi="Times New Roman,Italic" w:cs="Times New Roman,Italic"/>
          <w:i/>
          <w:iCs/>
          <w:color w:val="000000"/>
        </w:rPr>
        <w:t>L’attestazione sarà rilasciata esclusivamente dalla Federazione Sportiva di riferimento.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5. Per le attività sportive professionistiche di squadra, riconosciute ai sensi della legge n.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91/1981, atleti che partecipano ai seguenti campionati nazionali: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- Calcio serie A, B e C; Primavera e Berretti serie A, B e C; Under 17, Under 16 e Under 15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serie A, B e C;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F1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- Pallacanestro serie A1, A2, B; Under 20, Under 18, Under 16 e Under 15 Eccellenza</w:t>
      </w:r>
      <w:r w:rsidRPr="006955D5">
        <w:rPr>
          <w:rFonts w:ascii="Times New Roman" w:hAnsi="Times New Roman" w:cs="Times New Roman"/>
          <w:b/>
          <w:bCs/>
          <w:color w:val="00B1F1"/>
        </w:rPr>
        <w:t>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6955D5">
        <w:rPr>
          <w:rFonts w:ascii="Times New Roman,Italic" w:hAnsi="Times New Roman,Italic" w:cs="Times New Roman,Italic"/>
          <w:i/>
          <w:iCs/>
          <w:color w:val="000000"/>
        </w:rPr>
        <w:t xml:space="preserve">L’attestazione sarà rilasciata </w:t>
      </w:r>
      <w:r w:rsidRPr="006955D5">
        <w:rPr>
          <w:rFonts w:ascii="Times New Roman" w:hAnsi="Times New Roman" w:cs="Times New Roman"/>
          <w:i/>
          <w:iCs/>
          <w:color w:val="000000"/>
        </w:rPr>
        <w:t>esclusivamente dalla Lega o dalla Federazione Sportiva di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6955D5">
        <w:rPr>
          <w:rFonts w:ascii="Times New Roman" w:hAnsi="Times New Roman" w:cs="Times New Roman"/>
          <w:i/>
          <w:iCs/>
          <w:color w:val="000000"/>
        </w:rPr>
        <w:t>riferimento.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6. Per gli sport non professionistici di squadra, gli atleti che partecipano ai Campionati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Nazionali di serie A, A1, A2 e B, inclusi i Campionati di Eccellenza equiparabili alla Serie A.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lastRenderedPageBreak/>
        <w:t>Per la Pallavolo, atleti partecipanti ai campionati di Serie A1, A2 e B maschile e A1, A2, B1 e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955D5">
        <w:rPr>
          <w:rFonts w:ascii="Times New Roman" w:hAnsi="Times New Roman" w:cs="Times New Roman"/>
          <w:b/>
          <w:bCs/>
          <w:color w:val="000000"/>
        </w:rPr>
        <w:t>B2 femminile.</w:t>
      </w:r>
    </w:p>
    <w:p w:rsidR="00E668F0" w:rsidRPr="006955D5" w:rsidRDefault="00E668F0" w:rsidP="00E668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6955D5">
        <w:rPr>
          <w:rFonts w:ascii="Times New Roman,Italic" w:hAnsi="Times New Roman,Italic" w:cs="Times New Roman,Italic"/>
          <w:i/>
          <w:iCs/>
          <w:color w:val="000000"/>
        </w:rPr>
        <w:t>L’attestazione sarà rilasci</w:t>
      </w:r>
      <w:r w:rsidRPr="006955D5">
        <w:rPr>
          <w:rFonts w:ascii="Times New Roman" w:hAnsi="Times New Roman" w:cs="Times New Roman"/>
          <w:i/>
          <w:iCs/>
          <w:color w:val="000000"/>
        </w:rPr>
        <w:t>ata esclusivamente dalla Lega o dalla Federazione Sportiva di</w:t>
      </w:r>
    </w:p>
    <w:p w:rsidR="00E668F0" w:rsidRPr="006955D5" w:rsidRDefault="00E668F0" w:rsidP="00E668F0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6955D5">
        <w:rPr>
          <w:rFonts w:ascii="Times New Roman" w:hAnsi="Times New Roman" w:cs="Times New Roman"/>
          <w:i/>
          <w:iCs/>
          <w:color w:val="000000"/>
        </w:rPr>
        <w:t>riferimento.</w:t>
      </w:r>
    </w:p>
    <w:p w:rsidR="00E668F0" w:rsidRPr="004C19A1" w:rsidRDefault="004C19A1" w:rsidP="00E668F0">
      <w:pPr>
        <w:spacing w:after="0"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 con secondo  integrazione </w:t>
      </w:r>
      <w:r w:rsidRPr="004C19A1">
        <w:rPr>
          <w:rFonts w:ascii="Times New Roman" w:hAnsi="Times New Roman" w:cs="Times New Roman"/>
          <w:b/>
          <w:color w:val="000000"/>
        </w:rPr>
        <w:t>All.1 ST.ATL .m pi.AOODGSIP.REGISTRO-UFFICIALEU.0004941.08-11-2019</w:t>
      </w:r>
    </w:p>
    <w:p w:rsidR="004C19A1" w:rsidRDefault="004C19A1" w:rsidP="00E668F0">
      <w:pPr>
        <w:spacing w:after="0" w:line="360" w:lineRule="auto"/>
      </w:pPr>
      <w:r>
        <w:t xml:space="preserve">per il </w:t>
      </w:r>
      <w:r w:rsidRPr="004C19A1">
        <w:rPr>
          <w:u w:val="single"/>
        </w:rPr>
        <w:t>Calcio (FIGC):</w:t>
      </w:r>
      <w:r>
        <w:t xml:space="preserve"> - Campionato Nazionale Sperimentale Under 18 Serie A e B maschile (integrazione del punto 5 dei criteri di adesione); - Campionato Nazionale Primavera femminile (integrazione del punto 6 dei criteri di adesione); </w:t>
      </w:r>
    </w:p>
    <w:p w:rsidR="004C19A1" w:rsidRPr="00EF37C2" w:rsidRDefault="004C19A1" w:rsidP="00E668F0">
      <w:pPr>
        <w:spacing w:after="0" w:line="360" w:lineRule="auto"/>
        <w:rPr>
          <w:rFonts w:ascii="Times New Roman" w:hAnsi="Times New Roman" w:cs="Times New Roman"/>
          <w:color w:val="000000"/>
        </w:rPr>
      </w:pPr>
      <w:bookmarkStart w:id="0" w:name="_GoBack"/>
      <w:r w:rsidRPr="004C19A1">
        <w:rPr>
          <w:u w:val="single"/>
        </w:rPr>
        <w:t>per la Pallavolo (FIPAV):</w:t>
      </w:r>
      <w:r>
        <w:t xml:space="preserve"> </w:t>
      </w:r>
      <w:bookmarkEnd w:id="0"/>
      <w:r>
        <w:t>- Serie A3 maschile (integrazione del punto 6 dei criteri di adesione).</w:t>
      </w:r>
    </w:p>
    <w:p w:rsidR="00E668F0" w:rsidRDefault="00E668F0" w:rsidP="00E668F0">
      <w:pPr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668F0" w:rsidRPr="008F56DC" w:rsidRDefault="00E668F0" w:rsidP="00E668F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E668F0" w:rsidRPr="00296C46" w:rsidRDefault="00E668F0" w:rsidP="00E668F0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158CC">
        <w:rPr>
          <w:rFonts w:ascii="Times New Roman" w:hAnsi="Times New Roman"/>
          <w:b/>
          <w:strike/>
          <w:sz w:val="24"/>
          <w:szCs w:val="24"/>
        </w:rPr>
        <w:t>Alternanza scuola-lavoro</w:t>
      </w:r>
      <w:r w:rsidRPr="00B158CC">
        <w:rPr>
          <w:rFonts w:ascii="Times New Roman" w:hAnsi="Times New Roman"/>
          <w:b/>
          <w:sz w:val="24"/>
          <w:szCs w:val="24"/>
        </w:rPr>
        <w:t xml:space="preserve">   PERCORSI PER </w:t>
      </w:r>
      <w:r w:rsidRPr="00296C46">
        <w:rPr>
          <w:rFonts w:ascii="Times New Roman" w:hAnsi="Times New Roman"/>
          <w:b/>
          <w:sz w:val="24"/>
          <w:szCs w:val="24"/>
        </w:rPr>
        <w:t>LE COMPETENZE TRASVERSALI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6C46">
        <w:rPr>
          <w:rFonts w:ascii="Times New Roman" w:hAnsi="Times New Roman"/>
          <w:b/>
          <w:sz w:val="24"/>
          <w:szCs w:val="24"/>
        </w:rPr>
        <w:t xml:space="preserve"> E L’ORIENTAMENTO</w:t>
      </w:r>
    </w:p>
    <w:p w:rsidR="00E668F0" w:rsidRPr="006955D5" w:rsidRDefault="00E668F0" w:rsidP="00E668F0">
      <w:pPr>
        <w:spacing w:after="0" w:line="360" w:lineRule="auto"/>
        <w:rPr>
          <w:rFonts w:cs="Calibri"/>
        </w:rPr>
      </w:pPr>
      <w:r w:rsidRPr="006955D5">
        <w:t>Il</w:t>
      </w:r>
      <w:r w:rsidRPr="006955D5">
        <w:rPr>
          <w:rFonts w:cs="Calibri"/>
        </w:rPr>
        <w:t xml:space="preserve"> Consiglio di classe valuterà il riconoscimento dell’attività sportiva ad alto livello come P.C.T.O.  come da </w:t>
      </w:r>
    </w:p>
    <w:p w:rsidR="00E668F0" w:rsidRPr="006955D5" w:rsidRDefault="004C19A1" w:rsidP="00E668F0">
      <w:pPr>
        <w:spacing w:after="0" w:line="360" w:lineRule="auto"/>
        <w:rPr>
          <w:rFonts w:cs="Calibri"/>
        </w:rPr>
      </w:pPr>
      <w:hyperlink r:id="rId8" w:history="1">
        <w:r w:rsidR="00E668F0" w:rsidRPr="006955D5">
          <w:rPr>
            <w:rFonts w:cs="Calibri"/>
          </w:rPr>
          <w:t>nota</w:t>
        </w:r>
        <w:r w:rsidR="00E668F0" w:rsidRPr="006955D5">
          <w:rPr>
            <w:rFonts w:cs="Calibri"/>
            <w:u w:val="single"/>
          </w:rPr>
          <w:t xml:space="preserve"> MIUR </w:t>
        </w:r>
        <w:proofErr w:type="spellStart"/>
        <w:r w:rsidR="00E668F0" w:rsidRPr="006955D5">
          <w:rPr>
            <w:rFonts w:cs="Calibri"/>
            <w:u w:val="single"/>
          </w:rPr>
          <w:t>prot</w:t>
        </w:r>
        <w:proofErr w:type="spellEnd"/>
        <w:r w:rsidR="00E668F0" w:rsidRPr="006955D5">
          <w:rPr>
            <w:rFonts w:cs="Calibri"/>
            <w:u w:val="single"/>
          </w:rPr>
          <w:t>. N.3355 del 28.3.2017</w:t>
        </w:r>
        <w:r w:rsidR="00E668F0" w:rsidRPr="006955D5">
          <w:rPr>
            <w:rFonts w:cs="Calibri"/>
          </w:rPr>
          <w:t xml:space="preserve"> e  </w:t>
        </w:r>
      </w:hyperlink>
      <w:hyperlink r:id="rId9" w:history="1">
        <w:r w:rsidR="00E668F0" w:rsidRPr="006955D5">
          <w:rPr>
            <w:rStyle w:val="Collegamentoipertestuale"/>
            <w:rFonts w:cs="Calibri"/>
            <w:bCs/>
            <w:color w:val="auto"/>
            <w:bdr w:val="none" w:sz="0" w:space="0" w:color="auto" w:frame="1"/>
            <w:shd w:val="clear" w:color="auto" w:fill="FFFFFF"/>
          </w:rPr>
          <w:t xml:space="preserve">nota </w:t>
        </w:r>
        <w:r w:rsidR="00E668F0" w:rsidRPr="006955D5">
          <w:rPr>
            <w:rFonts w:cs="Calibri"/>
            <w:u w:val="single"/>
            <w:shd w:val="clear" w:color="auto" w:fill="FFFFFF"/>
          </w:rPr>
          <w:t>MIUR </w:t>
        </w:r>
        <w:proofErr w:type="spellStart"/>
        <w:r w:rsidR="00E668F0" w:rsidRPr="006955D5">
          <w:rPr>
            <w:rFonts w:cs="Calibri"/>
            <w:u w:val="single"/>
            <w:shd w:val="clear" w:color="auto" w:fill="FFFFFF"/>
          </w:rPr>
          <w:t>prot</w:t>
        </w:r>
        <w:proofErr w:type="spellEnd"/>
        <w:r w:rsidR="00E668F0" w:rsidRPr="006955D5">
          <w:rPr>
            <w:rFonts w:cs="Calibri"/>
            <w:u w:val="single"/>
            <w:shd w:val="clear" w:color="auto" w:fill="FFFFFF"/>
          </w:rPr>
          <w:t>. n.7194</w:t>
        </w:r>
        <w:r w:rsidR="00E668F0" w:rsidRPr="006955D5">
          <w:rPr>
            <w:rStyle w:val="Collegamentoipertestuale"/>
            <w:rFonts w:cs="Calibri"/>
            <w:bCs/>
            <w:color w:val="auto"/>
            <w:bdr w:val="none" w:sz="0" w:space="0" w:color="auto" w:frame="1"/>
            <w:shd w:val="clear" w:color="auto" w:fill="FFFFFF"/>
          </w:rPr>
          <w:t xml:space="preserve"> del 24 aprile 2018</w:t>
        </w:r>
      </w:hyperlink>
      <w:r w:rsidR="00E668F0" w:rsidRPr="006955D5">
        <w:rPr>
          <w:rFonts w:cs="Calibri"/>
        </w:rPr>
        <w:t xml:space="preserve">, </w:t>
      </w:r>
      <w:r w:rsidR="00E668F0" w:rsidRPr="006955D5">
        <w:rPr>
          <w:rFonts w:cs="Calibri"/>
          <w:shd w:val="clear" w:color="auto" w:fill="FFFFFF"/>
        </w:rPr>
        <w:t> in ragione degli impegni agonistici affrontati durante l’anno scolastico.</w:t>
      </w:r>
    </w:p>
    <w:p w:rsidR="00E668F0" w:rsidRPr="00E668F0" w:rsidRDefault="00E668F0" w:rsidP="00E668F0">
      <w:pPr>
        <w:tabs>
          <w:tab w:val="left" w:pos="5311"/>
        </w:tabs>
      </w:pPr>
    </w:p>
    <w:sectPr w:rsidR="00E668F0" w:rsidRPr="00E668F0" w:rsidSect="00953715"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C2" w:rsidRDefault="00EF37C2" w:rsidP="00EF37C2">
      <w:pPr>
        <w:spacing w:after="0" w:line="240" w:lineRule="auto"/>
      </w:pPr>
      <w:r>
        <w:separator/>
      </w:r>
    </w:p>
  </w:endnote>
  <w:endnote w:type="continuationSeparator" w:id="0">
    <w:p w:rsidR="00EF37C2" w:rsidRDefault="00EF37C2" w:rsidP="00EF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283093"/>
      <w:docPartObj>
        <w:docPartGallery w:val="Page Numbers (Bottom of Page)"/>
        <w:docPartUnique/>
      </w:docPartObj>
    </w:sdtPr>
    <w:sdtEndPr/>
    <w:sdtContent>
      <w:p w:rsidR="00EF37C2" w:rsidRDefault="00EF37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9A1">
          <w:rPr>
            <w:noProof/>
          </w:rPr>
          <w:t>3</w:t>
        </w:r>
        <w:r>
          <w:fldChar w:fldCharType="end"/>
        </w:r>
      </w:p>
    </w:sdtContent>
  </w:sdt>
  <w:p w:rsidR="00EF37C2" w:rsidRDefault="00EF37C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C2" w:rsidRDefault="00EF37C2" w:rsidP="00EF37C2">
      <w:pPr>
        <w:spacing w:after="0" w:line="240" w:lineRule="auto"/>
      </w:pPr>
      <w:r>
        <w:separator/>
      </w:r>
    </w:p>
  </w:footnote>
  <w:footnote w:type="continuationSeparator" w:id="0">
    <w:p w:rsidR="00EF37C2" w:rsidRDefault="00EF37C2" w:rsidP="00EF3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1B8F"/>
    <w:multiLevelType w:val="hybridMultilevel"/>
    <w:tmpl w:val="9294CD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F0"/>
    <w:rsid w:val="000E4B93"/>
    <w:rsid w:val="004438C7"/>
    <w:rsid w:val="004C19A1"/>
    <w:rsid w:val="006955D5"/>
    <w:rsid w:val="00953715"/>
    <w:rsid w:val="00E160FD"/>
    <w:rsid w:val="00E668F0"/>
    <w:rsid w:val="00E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68F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68F0"/>
    <w:pPr>
      <w:ind w:left="720"/>
      <w:contextualSpacing/>
    </w:pPr>
  </w:style>
  <w:style w:type="paragraph" w:customStyle="1" w:styleId="Default">
    <w:name w:val="Default"/>
    <w:rsid w:val="00E668F0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F3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7C2"/>
  </w:style>
  <w:style w:type="paragraph" w:styleId="Pidipagina">
    <w:name w:val="footer"/>
    <w:basedOn w:val="Normale"/>
    <w:link w:val="PidipaginaCarattere"/>
    <w:uiPriority w:val="99"/>
    <w:unhideWhenUsed/>
    <w:rsid w:val="00EF3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68F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68F0"/>
    <w:pPr>
      <w:ind w:left="720"/>
      <w:contextualSpacing/>
    </w:pPr>
  </w:style>
  <w:style w:type="paragraph" w:customStyle="1" w:styleId="Default">
    <w:name w:val="Default"/>
    <w:rsid w:val="00E668F0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F3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7C2"/>
  </w:style>
  <w:style w:type="paragraph" w:styleId="Pidipagina">
    <w:name w:val="footer"/>
    <w:basedOn w:val="Normale"/>
    <w:link w:val="PidipaginaCarattere"/>
    <w:uiPriority w:val="99"/>
    <w:unhideWhenUsed/>
    <w:rsid w:val="00EF37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it/allegati/2017/prot3355_17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otiziedellascuola.it/legislazione-e-dottrina/indice-cronologico/2018/aprile/NOTA_MIUR_20180424_prot719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OLIVIERI</dc:creator>
  <cp:lastModifiedBy>PAOLA FELTRIN </cp:lastModifiedBy>
  <cp:revision>5</cp:revision>
  <dcterms:created xsi:type="dcterms:W3CDTF">2019-11-11T07:18:00Z</dcterms:created>
  <dcterms:modified xsi:type="dcterms:W3CDTF">2019-11-12T10:51:00Z</dcterms:modified>
</cp:coreProperties>
</file>