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CA2D" w14:textId="3ED1DEDF" w:rsidR="001237D9" w:rsidRDefault="00B2439B" w:rsidP="001237D9">
      <w:pPr>
        <w:pStyle w:val="Titolo1"/>
        <w:shd w:val="clear" w:color="auto" w:fill="FFFFFF"/>
        <w:spacing w:before="0" w:beforeAutospacing="0" w:after="0" w:afterAutospacing="0" w:line="525" w:lineRule="atLeast"/>
        <w:rPr>
          <w:rFonts w:ascii="Tahoma" w:hAnsi="Tahoma" w:cs="Tahoma"/>
          <w:b w:val="0"/>
          <w:bCs w:val="0"/>
          <w:color w:val="DC3B33"/>
          <w:sz w:val="45"/>
          <w:szCs w:val="45"/>
        </w:rPr>
      </w:pPr>
      <w:r>
        <w:rPr>
          <w:rFonts w:ascii="Tahoma" w:hAnsi="Tahoma" w:cs="Tahoma"/>
          <w:b w:val="0"/>
          <w:bCs w:val="0"/>
          <w:color w:val="DC3B33"/>
          <w:sz w:val="45"/>
          <w:szCs w:val="45"/>
        </w:rPr>
        <w:t>Linee guida ai Percorsi per le Competenze Trasversali per l’Orientamento (PCTO). Pubblicato il Decreto di adozione</w:t>
      </w:r>
    </w:p>
    <w:p w14:paraId="12535BAD" w14:textId="77777777" w:rsidR="00543C1F" w:rsidRPr="00543C1F" w:rsidRDefault="00543C1F" w:rsidP="00543C1F">
      <w:pPr>
        <w:pStyle w:val="Titolo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DC3B33"/>
          <w:sz w:val="16"/>
          <w:szCs w:val="16"/>
        </w:rPr>
      </w:pPr>
    </w:p>
    <w:p w14:paraId="59C02319" w14:textId="77777777" w:rsidR="001237D9" w:rsidRPr="000D1E78" w:rsidRDefault="001237D9" w:rsidP="00DF0A48">
      <w:pPr>
        <w:pStyle w:val="Titolo1"/>
        <w:shd w:val="clear" w:color="auto" w:fill="FFFFFF"/>
        <w:spacing w:before="0" w:beforeAutospacing="0" w:after="0" w:afterAutospacing="0"/>
        <w:rPr>
          <w:b w:val="0"/>
          <w:bCs w:val="0"/>
          <w:color w:val="DC3B33"/>
          <w:sz w:val="45"/>
          <w:szCs w:val="45"/>
        </w:rPr>
      </w:pPr>
      <w:r w:rsidRPr="000D1E78">
        <w:rPr>
          <w:color w:val="000000"/>
          <w:sz w:val="21"/>
          <w:szCs w:val="21"/>
        </w:rPr>
        <w:t> </w:t>
      </w:r>
      <w:hyperlink r:id="rId8" w:tgtFrame="_blank" w:history="1">
        <w:r w:rsidRPr="000D1E78">
          <w:rPr>
            <w:rStyle w:val="Collegamentoipertestuale"/>
            <w:color w:val="005EB3"/>
            <w:sz w:val="21"/>
            <w:szCs w:val="21"/>
            <w:u w:val="none"/>
          </w:rPr>
          <w:t>Decreto ministeriale 774 del 4 settembre 2019</w:t>
        </w:r>
      </w:hyperlink>
      <w:r w:rsidR="00DF0A48" w:rsidRPr="00DF0A48">
        <w:rPr>
          <w:rFonts w:ascii="Arial" w:hAnsi="Arial" w:cs="Arial"/>
          <w:color w:val="666666"/>
          <w:sz w:val="26"/>
          <w:szCs w:val="26"/>
        </w:rPr>
        <w:t xml:space="preserve"> </w:t>
      </w:r>
      <w:r w:rsidR="00DF0A48">
        <w:rPr>
          <w:b w:val="0"/>
          <w:sz w:val="18"/>
          <w:szCs w:val="18"/>
        </w:rPr>
        <w:t xml:space="preserve">a firma dell’ex </w:t>
      </w:r>
      <w:r w:rsidR="00DF0A48" w:rsidRPr="00DF0A48">
        <w:rPr>
          <w:b w:val="0"/>
          <w:sz w:val="18"/>
          <w:szCs w:val="18"/>
        </w:rPr>
        <w:t>Ministro dell’Istruzione Marco Bussetti</w:t>
      </w:r>
      <w:r w:rsidRPr="000D1E78">
        <w:rPr>
          <w:rStyle w:val="Collegamentoipertestuale"/>
          <w:color w:val="005EB3"/>
          <w:sz w:val="21"/>
          <w:szCs w:val="21"/>
          <w:u w:val="none"/>
        </w:rPr>
        <w:t xml:space="preserve">, </w:t>
      </w:r>
      <w:r w:rsidRPr="000D1E78">
        <w:rPr>
          <w:color w:val="000000"/>
          <w:sz w:val="21"/>
          <w:szCs w:val="21"/>
        </w:rPr>
        <w:t xml:space="preserve">pubblicato </w:t>
      </w:r>
      <w:r w:rsidR="00B2439B" w:rsidRPr="000D1E78">
        <w:rPr>
          <w:color w:val="000000"/>
          <w:sz w:val="21"/>
          <w:szCs w:val="21"/>
        </w:rPr>
        <w:t xml:space="preserve">Martedì 8 ottobre 2019, </w:t>
      </w:r>
      <w:r w:rsidR="00DF0A48" w:rsidRPr="00DF0A48">
        <w:rPr>
          <w:color w:val="666666"/>
          <w:sz w:val="18"/>
          <w:szCs w:val="18"/>
        </w:rPr>
        <w:t>definisce le Linee guida in merito ai percorsi per le competenze trasversali e per l’orientamento, di cui all’articolo 1, comma 785, della legge 30 dicembre 2018, n. 145</w:t>
      </w:r>
    </w:p>
    <w:p w14:paraId="3B0F4E93" w14:textId="77777777" w:rsidR="00DF0A48" w:rsidRPr="000C79FF" w:rsidRDefault="00DF0A48" w:rsidP="00DF0A48">
      <w:pPr>
        <w:pStyle w:val="NormaleWeb"/>
        <w:shd w:val="clear" w:color="auto" w:fill="FFFFFF"/>
        <w:spacing w:before="0" w:beforeAutospacing="0" w:after="225" w:afterAutospacing="0"/>
        <w:ind w:left="720"/>
        <w:jc w:val="both"/>
        <w:rPr>
          <w:color w:val="000000"/>
          <w:sz w:val="16"/>
          <w:szCs w:val="16"/>
        </w:rPr>
      </w:pPr>
    </w:p>
    <w:p w14:paraId="554624BC" w14:textId="77777777" w:rsidR="00B2439B" w:rsidRPr="000C79FF" w:rsidRDefault="00B2439B" w:rsidP="001237D9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2"/>
          <w:szCs w:val="22"/>
        </w:rPr>
      </w:pPr>
      <w:r w:rsidRPr="000C79FF">
        <w:rPr>
          <w:color w:val="000000"/>
          <w:sz w:val="22"/>
          <w:szCs w:val="22"/>
        </w:rPr>
        <w:t>Il </w:t>
      </w:r>
      <w:r w:rsidR="001237D9" w:rsidRPr="000C79FF">
        <w:rPr>
          <w:color w:val="000000"/>
          <w:sz w:val="22"/>
          <w:szCs w:val="22"/>
        </w:rPr>
        <w:t xml:space="preserve">28 agosto 2019 </w:t>
      </w:r>
      <w:r w:rsidRPr="000C79FF">
        <w:rPr>
          <w:rStyle w:val="Enfasigrassetto"/>
          <w:color w:val="000000"/>
          <w:sz w:val="22"/>
          <w:szCs w:val="22"/>
        </w:rPr>
        <w:t>Consiglio Superiore della Pubblica Istruzione</w:t>
      </w:r>
      <w:r w:rsidR="001237D9" w:rsidRPr="000C79FF">
        <w:rPr>
          <w:color w:val="000000"/>
          <w:sz w:val="22"/>
          <w:szCs w:val="22"/>
        </w:rPr>
        <w:t xml:space="preserve"> (CSPI) </w:t>
      </w:r>
      <w:r w:rsidRPr="000C79FF">
        <w:rPr>
          <w:color w:val="000000"/>
          <w:sz w:val="22"/>
          <w:szCs w:val="22"/>
        </w:rPr>
        <w:t xml:space="preserve">aveva </w:t>
      </w:r>
      <w:r w:rsidR="001237D9" w:rsidRPr="000C79FF">
        <w:rPr>
          <w:color w:val="000000"/>
          <w:sz w:val="22"/>
          <w:szCs w:val="22"/>
        </w:rPr>
        <w:t>espresso</w:t>
      </w:r>
      <w:r w:rsidRPr="000C79FF">
        <w:rPr>
          <w:rStyle w:val="Enfasigrassetto"/>
          <w:color w:val="000000"/>
          <w:sz w:val="22"/>
          <w:szCs w:val="22"/>
        </w:rPr>
        <w:t> </w:t>
      </w:r>
      <w:hyperlink r:id="rId9" w:tgtFrame="_blank" w:history="1">
        <w:r w:rsidRPr="000C79FF">
          <w:rPr>
            <w:rStyle w:val="Collegamentoipertestuale"/>
            <w:b/>
            <w:bCs/>
            <w:color w:val="005EB3"/>
            <w:sz w:val="22"/>
            <w:szCs w:val="22"/>
            <w:u w:val="none"/>
          </w:rPr>
          <w:t>parere negativo</w:t>
        </w:r>
      </w:hyperlink>
      <w:r w:rsidRPr="000C79FF">
        <w:rPr>
          <w:color w:val="000000"/>
          <w:sz w:val="22"/>
          <w:szCs w:val="22"/>
        </w:rPr>
        <w:t>, motivandolo con dettagliate argomentazioni.</w:t>
      </w:r>
    </w:p>
    <w:p w14:paraId="7EFC1723" w14:textId="77777777" w:rsidR="001237D9" w:rsidRPr="000C79FF" w:rsidRDefault="00B2439B" w:rsidP="001237D9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2"/>
          <w:szCs w:val="22"/>
        </w:rPr>
      </w:pPr>
      <w:r w:rsidRPr="000C79FF">
        <w:rPr>
          <w:rStyle w:val="Enfasigrassetto"/>
          <w:color w:val="000000"/>
          <w:sz w:val="22"/>
          <w:szCs w:val="22"/>
        </w:rPr>
        <w:t xml:space="preserve">il testo </w:t>
      </w:r>
      <w:r w:rsidR="00110827" w:rsidRPr="000C79FF">
        <w:rPr>
          <w:rStyle w:val="Enfasigrassetto"/>
          <w:b w:val="0"/>
          <w:color w:val="000000"/>
          <w:sz w:val="22"/>
          <w:szCs w:val="22"/>
        </w:rPr>
        <w:t>delle Linee guida</w:t>
      </w:r>
      <w:r w:rsidR="00110827" w:rsidRPr="000C79FF">
        <w:rPr>
          <w:rStyle w:val="Enfasigrassetto"/>
          <w:color w:val="000000"/>
          <w:sz w:val="22"/>
          <w:szCs w:val="22"/>
        </w:rPr>
        <w:t xml:space="preserve"> </w:t>
      </w:r>
      <w:r w:rsidRPr="000C79FF">
        <w:rPr>
          <w:rStyle w:val="Enfasigrassetto"/>
          <w:color w:val="000000"/>
          <w:sz w:val="22"/>
          <w:szCs w:val="22"/>
        </w:rPr>
        <w:t>è rimasto pressoché invariato</w:t>
      </w:r>
      <w:r w:rsidR="00110827" w:rsidRPr="000C79FF">
        <w:rPr>
          <w:rStyle w:val="Enfasigrassetto"/>
          <w:color w:val="000000"/>
          <w:sz w:val="22"/>
          <w:szCs w:val="22"/>
        </w:rPr>
        <w:t xml:space="preserve"> </w:t>
      </w:r>
      <w:r w:rsidR="00110827" w:rsidRPr="000C79FF">
        <w:rPr>
          <w:rStyle w:val="Enfasigrassetto"/>
          <w:b w:val="0"/>
          <w:color w:val="000000"/>
          <w:sz w:val="22"/>
          <w:szCs w:val="22"/>
        </w:rPr>
        <w:t>dopo il parere negativo</w:t>
      </w:r>
    </w:p>
    <w:p w14:paraId="28108790" w14:textId="0A6AFC75" w:rsidR="001237D9" w:rsidRDefault="001237D9" w:rsidP="00B2439B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2"/>
          <w:szCs w:val="22"/>
        </w:rPr>
      </w:pPr>
      <w:r w:rsidRPr="000C79FF">
        <w:rPr>
          <w:color w:val="000000"/>
          <w:sz w:val="22"/>
          <w:szCs w:val="22"/>
        </w:rPr>
        <w:t xml:space="preserve">le linee guida sono </w:t>
      </w:r>
      <w:r w:rsidRPr="000C79FF">
        <w:rPr>
          <w:b/>
          <w:color w:val="000000"/>
          <w:sz w:val="22"/>
          <w:szCs w:val="22"/>
        </w:rPr>
        <w:t>valide</w:t>
      </w:r>
      <w:r w:rsidRPr="000C79FF">
        <w:rPr>
          <w:color w:val="000000"/>
          <w:sz w:val="22"/>
          <w:szCs w:val="22"/>
        </w:rPr>
        <w:t xml:space="preserve"> </w:t>
      </w:r>
      <w:r w:rsidR="00A049AD">
        <w:rPr>
          <w:color w:val="000000"/>
          <w:sz w:val="22"/>
          <w:szCs w:val="22"/>
        </w:rPr>
        <w:t>dal corre</w:t>
      </w:r>
      <w:r w:rsidR="00B2439B" w:rsidRPr="000C79FF">
        <w:rPr>
          <w:color w:val="000000"/>
          <w:sz w:val="22"/>
          <w:szCs w:val="22"/>
        </w:rPr>
        <w:t xml:space="preserve">te anno scolastico </w:t>
      </w:r>
      <w:r w:rsidR="000D1E78" w:rsidRPr="000C79FF">
        <w:rPr>
          <w:b/>
          <w:color w:val="000000"/>
          <w:sz w:val="22"/>
          <w:szCs w:val="22"/>
        </w:rPr>
        <w:t>2019/20</w:t>
      </w:r>
    </w:p>
    <w:p w14:paraId="2EAD0EDE" w14:textId="7D57B44D" w:rsidR="003C0B02" w:rsidRDefault="006C0ACF" w:rsidP="003C0B02">
      <w:pPr>
        <w:pStyle w:val="NormaleWeb"/>
        <w:shd w:val="clear" w:color="auto" w:fill="FFFFFF"/>
        <w:spacing w:before="0" w:beforeAutospacing="0" w:after="225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CRITICITA’ SOTTOLINEATE ANCHE DAI  SINDACA</w:t>
      </w:r>
      <w:r w:rsidR="00716817">
        <w:rPr>
          <w:b/>
          <w:color w:val="000000"/>
          <w:sz w:val="22"/>
          <w:szCs w:val="22"/>
        </w:rPr>
        <w:t>T</w:t>
      </w:r>
      <w:r>
        <w:rPr>
          <w:b/>
          <w:color w:val="000000"/>
          <w:sz w:val="22"/>
          <w:szCs w:val="22"/>
        </w:rPr>
        <w:t>I</w:t>
      </w:r>
    </w:p>
    <w:p w14:paraId="3175F7C6" w14:textId="77777777" w:rsidR="003C0B02" w:rsidRPr="000D1E78" w:rsidRDefault="003C0B02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sz w:val="21"/>
          <w:szCs w:val="21"/>
        </w:rPr>
      </w:pPr>
      <w:r w:rsidRPr="000D1E78">
        <w:rPr>
          <w:rStyle w:val="Enfasigrassetto"/>
          <w:sz w:val="21"/>
          <w:szCs w:val="21"/>
        </w:rPr>
        <w:t>monte ore</w:t>
      </w:r>
      <w:r w:rsidRPr="000D1E78">
        <w:rPr>
          <w:sz w:val="21"/>
          <w:szCs w:val="21"/>
        </w:rPr>
        <w:t xml:space="preserve"> con </w:t>
      </w:r>
      <w:r w:rsidRPr="000D1E78">
        <w:rPr>
          <w:b/>
          <w:sz w:val="21"/>
          <w:szCs w:val="21"/>
        </w:rPr>
        <w:t>riduzione della durata minima</w:t>
      </w:r>
      <w:r w:rsidRPr="000D1E78">
        <w:rPr>
          <w:sz w:val="23"/>
          <w:szCs w:val="23"/>
        </w:rPr>
        <w:t xml:space="preserve"> - 90 ore nel triennio finale per i licei, 150 per gli istituti tecnici e 210 per gli istituti professionali </w:t>
      </w:r>
    </w:p>
    <w:p w14:paraId="15AF4664" w14:textId="77777777" w:rsidR="003C0B02" w:rsidRPr="000D1E78" w:rsidRDefault="003C0B02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sz w:val="21"/>
          <w:szCs w:val="21"/>
        </w:rPr>
      </w:pPr>
      <w:r w:rsidRPr="000D1E78">
        <w:rPr>
          <w:b/>
          <w:sz w:val="23"/>
          <w:szCs w:val="23"/>
        </w:rPr>
        <w:t>realizzazione</w:t>
      </w:r>
      <w:r w:rsidRPr="000D1E78">
        <w:rPr>
          <w:sz w:val="23"/>
          <w:szCs w:val="23"/>
        </w:rPr>
        <w:t xml:space="preserve"> da sviluppare </w:t>
      </w:r>
      <w:r w:rsidRPr="000D1E78">
        <w:rPr>
          <w:b/>
          <w:sz w:val="23"/>
          <w:szCs w:val="23"/>
        </w:rPr>
        <w:t>preferibilmente nel periodo di svolgimento delle lezioni</w:t>
      </w:r>
      <w:r w:rsidRPr="000D1E78">
        <w:rPr>
          <w:sz w:val="23"/>
          <w:szCs w:val="23"/>
        </w:rPr>
        <w:t xml:space="preserve"> (può estendersi anche ai periodi di sospensione delle attività didattiche per particolari esigenze -  esperienze esterne agli ambienti scolastici</w:t>
      </w:r>
      <w:r>
        <w:rPr>
          <w:sz w:val="23"/>
          <w:szCs w:val="23"/>
        </w:rPr>
        <w:t>,</w:t>
      </w:r>
      <w:r w:rsidRPr="000D1E78">
        <w:rPr>
          <w:sz w:val="23"/>
          <w:szCs w:val="23"/>
        </w:rPr>
        <w:t xml:space="preserve"> percorsi </w:t>
      </w:r>
      <w:r>
        <w:rPr>
          <w:sz w:val="23"/>
          <w:szCs w:val="23"/>
        </w:rPr>
        <w:t>da</w:t>
      </w:r>
      <w:r w:rsidRPr="000D1E78">
        <w:rPr>
          <w:sz w:val="23"/>
          <w:szCs w:val="23"/>
        </w:rPr>
        <w:t xml:space="preserve"> realizzare </w:t>
      </w:r>
      <w:r>
        <w:rPr>
          <w:sz w:val="23"/>
          <w:szCs w:val="23"/>
        </w:rPr>
        <w:t>presso</w:t>
      </w:r>
      <w:r w:rsidRPr="000D1E78">
        <w:rPr>
          <w:sz w:val="23"/>
          <w:szCs w:val="23"/>
        </w:rPr>
        <w:t xml:space="preserve"> strutture ospitanti </w:t>
      </w:r>
      <w:r>
        <w:rPr>
          <w:sz w:val="23"/>
          <w:szCs w:val="23"/>
        </w:rPr>
        <w:t xml:space="preserve">con </w:t>
      </w:r>
      <w:r w:rsidRPr="000D1E78">
        <w:rPr>
          <w:sz w:val="23"/>
          <w:szCs w:val="23"/>
        </w:rPr>
        <w:t>attività stagionali</w:t>
      </w:r>
    </w:p>
    <w:p w14:paraId="002C2D8B" w14:textId="77777777" w:rsidR="003C0B02" w:rsidRDefault="003C0B02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sz w:val="21"/>
          <w:szCs w:val="21"/>
        </w:rPr>
      </w:pPr>
      <w:r w:rsidRPr="000D1E78">
        <w:rPr>
          <w:rStyle w:val="Enfasigrassetto"/>
          <w:sz w:val="21"/>
          <w:szCs w:val="21"/>
        </w:rPr>
        <w:t>taglio delle risorse</w:t>
      </w:r>
      <w:r w:rsidRPr="000D1E78">
        <w:rPr>
          <w:sz w:val="21"/>
          <w:szCs w:val="21"/>
        </w:rPr>
        <w:t> inizialmente previste dalla legge 107/15</w:t>
      </w:r>
      <w:r w:rsidRPr="000D1E78">
        <w:rPr>
          <w:rStyle w:val="Enfasigrassetto"/>
          <w:sz w:val="21"/>
          <w:szCs w:val="21"/>
        </w:rPr>
        <w:t>: - a parità di risorse, aumentano ancora i carichi di lavoro dei lavoratori della scuola,</w:t>
      </w:r>
      <w:r w:rsidRPr="000D1E78">
        <w:rPr>
          <w:sz w:val="21"/>
          <w:szCs w:val="21"/>
        </w:rPr>
        <w:t> in particolare dei docenti tutor (la cui individuazione “non deve comportare nuovi o maggiori oneri per la finanza pubblica”).</w:t>
      </w:r>
    </w:p>
    <w:p w14:paraId="39DBDE5A" w14:textId="279867EC" w:rsidR="003C0B02" w:rsidRPr="00AC305C" w:rsidRDefault="00394F9A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rStyle w:val="Enfasigrassetto"/>
          <w:bCs w:val="0"/>
          <w:sz w:val="21"/>
          <w:szCs w:val="21"/>
        </w:rPr>
      </w:pPr>
      <w:r>
        <w:rPr>
          <w:rStyle w:val="Enfasigrassetto"/>
          <w:rFonts w:ascii="Arial" w:hAnsi="Arial" w:cs="Arial"/>
          <w:sz w:val="21"/>
          <w:szCs w:val="21"/>
        </w:rPr>
        <w:t xml:space="preserve">Notevole aggravio logistico organizzativo </w:t>
      </w:r>
      <w:r w:rsidRPr="00394F9A">
        <w:rPr>
          <w:rStyle w:val="Enfasigrassetto"/>
          <w:sz w:val="20"/>
          <w:szCs w:val="20"/>
        </w:rPr>
        <w:t>(</w:t>
      </w:r>
      <w:r w:rsidRPr="00394F9A">
        <w:rPr>
          <w:rStyle w:val="Enfasigrassetto"/>
          <w:b w:val="0"/>
          <w:sz w:val="20"/>
          <w:szCs w:val="20"/>
        </w:rPr>
        <w:t>le Linee guida riprendendo totalmente quanto indicato nella GUIDA OPERATIVA ASL del 8.10.2015</w:t>
      </w:r>
      <w:r>
        <w:rPr>
          <w:rStyle w:val="Enfasigrassetto"/>
          <w:b w:val="0"/>
          <w:sz w:val="20"/>
          <w:szCs w:val="20"/>
        </w:rPr>
        <w:t xml:space="preserve">): </w:t>
      </w:r>
      <w:r>
        <w:rPr>
          <w:rStyle w:val="Enfasigrassetto"/>
          <w:sz w:val="20"/>
          <w:szCs w:val="20"/>
        </w:rPr>
        <w:t>dettaglio del</w:t>
      </w:r>
      <w:r w:rsidR="003C0B02">
        <w:rPr>
          <w:rStyle w:val="Enfasigrassetto"/>
          <w:sz w:val="21"/>
          <w:szCs w:val="21"/>
        </w:rPr>
        <w:t xml:space="preserve"> ruolo dei docenti TUTOR, </w:t>
      </w:r>
    </w:p>
    <w:p w14:paraId="1B5C9AA5" w14:textId="01AFE92D" w:rsidR="00AC305C" w:rsidRPr="00AC305C" w:rsidRDefault="00AC305C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rStyle w:val="Enfasigrassetto"/>
          <w:b w:val="0"/>
          <w:bCs w:val="0"/>
          <w:sz w:val="21"/>
          <w:szCs w:val="21"/>
        </w:rPr>
      </w:pPr>
      <w:r>
        <w:rPr>
          <w:rStyle w:val="Enfasigrassetto"/>
          <w:sz w:val="21"/>
          <w:szCs w:val="21"/>
        </w:rPr>
        <w:t xml:space="preserve">L’AGGRAVIO DEI CARICHI DI LAVORO, </w:t>
      </w:r>
      <w:r w:rsidRPr="00AC305C">
        <w:rPr>
          <w:rStyle w:val="Enfasigrassetto"/>
          <w:b w:val="0"/>
          <w:sz w:val="21"/>
          <w:szCs w:val="21"/>
        </w:rPr>
        <w:t xml:space="preserve">già presente nel 2015, </w:t>
      </w:r>
      <w:r>
        <w:rPr>
          <w:rStyle w:val="Enfasigrassetto"/>
          <w:sz w:val="21"/>
          <w:szCs w:val="21"/>
        </w:rPr>
        <w:t>RIGUARDA ANCHE IL PERSONALE DI SEGRETERIA.</w:t>
      </w:r>
    </w:p>
    <w:p w14:paraId="311F5DC2" w14:textId="55D40A53" w:rsidR="00AC305C" w:rsidRPr="00AC305C" w:rsidRDefault="003C0B02" w:rsidP="00AC305C">
      <w:pPr>
        <w:pStyle w:val="Default"/>
        <w:numPr>
          <w:ilvl w:val="0"/>
          <w:numId w:val="17"/>
        </w:numPr>
        <w:shd w:val="clear" w:color="auto" w:fill="FFFFFF"/>
        <w:jc w:val="both"/>
        <w:rPr>
          <w:rStyle w:val="Enfasigrassetto"/>
          <w:bCs w:val="0"/>
          <w:sz w:val="21"/>
          <w:szCs w:val="21"/>
        </w:rPr>
      </w:pPr>
      <w:r>
        <w:rPr>
          <w:rStyle w:val="Enfasigrassetto"/>
          <w:sz w:val="21"/>
          <w:szCs w:val="21"/>
        </w:rPr>
        <w:t>assenza totale di risorse per la formazione dei docenti impegnati in PCTO</w:t>
      </w:r>
    </w:p>
    <w:p w14:paraId="6B3E9200" w14:textId="5DFFBF34" w:rsidR="003C0B02" w:rsidRDefault="003C0B02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sz w:val="21"/>
          <w:szCs w:val="21"/>
        </w:rPr>
      </w:pPr>
      <w:r w:rsidRPr="004A5D5F">
        <w:rPr>
          <w:rStyle w:val="Enfasigrassetto"/>
          <w:sz w:val="21"/>
          <w:szCs w:val="21"/>
        </w:rPr>
        <w:t>SI CONTINUA AD IGNORARE IL PROBLEMA DELLA DISA</w:t>
      </w:r>
      <w:r w:rsidR="004A5D5F">
        <w:rPr>
          <w:rStyle w:val="Enfasigrassetto"/>
          <w:sz w:val="21"/>
          <w:szCs w:val="21"/>
        </w:rPr>
        <w:t>B</w:t>
      </w:r>
      <w:r w:rsidRPr="004A5D5F">
        <w:rPr>
          <w:rStyle w:val="Enfasigrassetto"/>
          <w:sz w:val="21"/>
          <w:szCs w:val="21"/>
        </w:rPr>
        <w:t xml:space="preserve">ILITA’. </w:t>
      </w:r>
      <w:r w:rsidRPr="004A5D5F">
        <w:rPr>
          <w:rStyle w:val="Enfasigrassetto"/>
          <w:b w:val="0"/>
          <w:sz w:val="21"/>
          <w:szCs w:val="21"/>
        </w:rPr>
        <w:t xml:space="preserve">I DVA devono accedere ai PCTO, avere percorso personalizzato, sviluppare competenze  </w:t>
      </w:r>
      <w:r w:rsidR="004A5D5F" w:rsidRPr="004A5D5F">
        <w:rPr>
          <w:rStyle w:val="Enfasigrassetto"/>
          <w:b w:val="0"/>
          <w:sz w:val="21"/>
          <w:szCs w:val="21"/>
        </w:rPr>
        <w:t xml:space="preserve">… ma il tema è solo accennato: </w:t>
      </w:r>
      <w:r w:rsidRPr="004A5D5F">
        <w:rPr>
          <w:rStyle w:val="Enfasigrassetto"/>
          <w:b w:val="0"/>
          <w:sz w:val="21"/>
          <w:szCs w:val="21"/>
        </w:rPr>
        <w:t xml:space="preserve">pagg 25-26 </w:t>
      </w:r>
      <w:r w:rsidRPr="004A5D5F">
        <w:rPr>
          <w:rStyle w:val="Enfasigrassetto"/>
          <w:sz w:val="21"/>
          <w:szCs w:val="21"/>
        </w:rPr>
        <w:t>“</w:t>
      </w:r>
      <w:r w:rsidRPr="004A5D5F">
        <w:rPr>
          <w:sz w:val="21"/>
          <w:szCs w:val="21"/>
        </w:rPr>
        <w:t>Secondo l’articolo 6 del d.lgs. 77/2005, “</w:t>
      </w:r>
      <w:r w:rsidRPr="004A5D5F">
        <w:rPr>
          <w:i/>
          <w:iCs/>
          <w:sz w:val="21"/>
          <w:szCs w:val="21"/>
        </w:rPr>
        <w:t>La valutazione e la certificazione delle competenze acqui-site dai disabili che frequentano i percorsi in alternanza sono effettuate a norma della legge 5  febbraio 1992, n. 104, con l'obiettivo prioritario di riconoscerne e valorizzarne il potenziale, anche ai fini dell'occupabilità</w:t>
      </w:r>
      <w:r w:rsidRPr="004A5D5F">
        <w:rPr>
          <w:sz w:val="21"/>
          <w:szCs w:val="21"/>
        </w:rPr>
        <w:t>”.</w:t>
      </w:r>
    </w:p>
    <w:p w14:paraId="05644AE6" w14:textId="50ADA853" w:rsidR="00AC305C" w:rsidRPr="00AC305C" w:rsidRDefault="00AC305C" w:rsidP="003C0B02">
      <w:pPr>
        <w:pStyle w:val="Default"/>
        <w:numPr>
          <w:ilvl w:val="0"/>
          <w:numId w:val="17"/>
        </w:numPr>
        <w:shd w:val="clear" w:color="auto" w:fill="FFFFFF"/>
        <w:jc w:val="both"/>
        <w:rPr>
          <w:b/>
          <w:sz w:val="21"/>
          <w:szCs w:val="21"/>
        </w:rPr>
      </w:pPr>
      <w:r>
        <w:rPr>
          <w:rStyle w:val="Enfasigrassetto"/>
          <w:sz w:val="21"/>
          <w:szCs w:val="21"/>
        </w:rPr>
        <w:t xml:space="preserve">NON E’ CHIARITO SE LA PIATTAFORMA MIUR ASL </w:t>
      </w:r>
      <w:r w:rsidRPr="00AC305C">
        <w:rPr>
          <w:rStyle w:val="Enfasigrassetto"/>
          <w:b w:val="0"/>
          <w:sz w:val="21"/>
          <w:szCs w:val="21"/>
        </w:rPr>
        <w:t>rimarrà attiva e se sarà attivo il pulsante rosso.</w:t>
      </w:r>
    </w:p>
    <w:p w14:paraId="2CA4A6F1" w14:textId="77777777" w:rsidR="003C0B02" w:rsidRDefault="003C0B02" w:rsidP="003C0B02">
      <w:pPr>
        <w:pStyle w:val="NormaleWeb"/>
        <w:shd w:val="clear" w:color="auto" w:fill="FFFFFF"/>
        <w:spacing w:before="0" w:beforeAutospacing="0" w:after="225" w:afterAutospacing="0"/>
        <w:rPr>
          <w:b/>
          <w:color w:val="000000"/>
          <w:sz w:val="22"/>
          <w:szCs w:val="22"/>
        </w:rPr>
      </w:pPr>
    </w:p>
    <w:p w14:paraId="7C498E50" w14:textId="77777777" w:rsidR="00F12909" w:rsidRDefault="00A049AD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049AD">
        <w:rPr>
          <w:bCs/>
          <w:color w:val="000000"/>
        </w:rPr>
        <w:t>Le Linee guida ai PCTO non introducono grandi cambiamenti rispetto alla guida operativa ASL (10.5.2015) e la richiamano in più punti, talvolta esplicitamente, spesso impli</w:t>
      </w:r>
      <w:r>
        <w:rPr>
          <w:bCs/>
          <w:color w:val="000000"/>
        </w:rPr>
        <w:t>ci</w:t>
      </w:r>
      <w:r w:rsidRPr="00A049AD">
        <w:rPr>
          <w:bCs/>
          <w:color w:val="000000"/>
        </w:rPr>
        <w:t xml:space="preserve">tamente. </w:t>
      </w:r>
    </w:p>
    <w:p w14:paraId="221C2060" w14:textId="77777777" w:rsidR="00F12909" w:rsidRDefault="00A049AD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049AD">
        <w:rPr>
          <w:bCs/>
          <w:color w:val="000000"/>
        </w:rPr>
        <w:t>Il nuovo documento (pag</w:t>
      </w:r>
      <w:r>
        <w:rPr>
          <w:bCs/>
          <w:color w:val="000000"/>
        </w:rPr>
        <w:t>g.</w:t>
      </w:r>
      <w:r w:rsidRPr="00A049AD">
        <w:rPr>
          <w:bCs/>
          <w:color w:val="000000"/>
        </w:rPr>
        <w:t>72 totali</w:t>
      </w:r>
      <w:r w:rsidR="00F12909">
        <w:rPr>
          <w:bCs/>
          <w:color w:val="000000"/>
        </w:rPr>
        <w:t>, 39 delle quali testo, poi appendice e allegati</w:t>
      </w:r>
      <w:r w:rsidRPr="00A049AD">
        <w:rPr>
          <w:bCs/>
          <w:color w:val="000000"/>
        </w:rPr>
        <w:t>) dedica la prima parte all’</w:t>
      </w:r>
      <w:r w:rsidR="00F12909">
        <w:rPr>
          <w:bCs/>
          <w:color w:val="000000"/>
        </w:rPr>
        <w:t>inquadramento nel contesto e</w:t>
      </w:r>
      <w:r w:rsidRPr="00A049AD">
        <w:rPr>
          <w:bCs/>
          <w:color w:val="000000"/>
        </w:rPr>
        <w:t xml:space="preserve">uropeo e successivamente riprende quanto stabilito dalla Guida operativa ASL </w:t>
      </w:r>
      <w:r>
        <w:rPr>
          <w:bCs/>
          <w:color w:val="000000"/>
        </w:rPr>
        <w:t>(</w:t>
      </w:r>
      <w:r w:rsidRPr="00A049AD">
        <w:rPr>
          <w:bCs/>
          <w:color w:val="000000"/>
        </w:rPr>
        <w:t>pag</w:t>
      </w:r>
      <w:r>
        <w:rPr>
          <w:bCs/>
          <w:color w:val="000000"/>
        </w:rPr>
        <w:t xml:space="preserve">g.94 </w:t>
      </w:r>
      <w:r w:rsidRPr="00A049AD">
        <w:rPr>
          <w:bCs/>
          <w:color w:val="000000"/>
        </w:rPr>
        <w:t xml:space="preserve"> totali</w:t>
      </w:r>
      <w:r w:rsidR="00F12909">
        <w:rPr>
          <w:bCs/>
          <w:color w:val="000000"/>
        </w:rPr>
        <w:t>, 59 delle quali testo</w:t>
      </w:r>
      <w:r w:rsidR="00F12909" w:rsidRPr="00F12909">
        <w:rPr>
          <w:bCs/>
          <w:color w:val="000000"/>
        </w:rPr>
        <w:t xml:space="preserve"> </w:t>
      </w:r>
      <w:r w:rsidR="00F12909">
        <w:rPr>
          <w:bCs/>
          <w:color w:val="000000"/>
        </w:rPr>
        <w:t>poi appendice e allegati</w:t>
      </w:r>
      <w:r w:rsidRPr="00A049AD">
        <w:rPr>
          <w:bCs/>
          <w:color w:val="000000"/>
        </w:rPr>
        <w:t>)</w:t>
      </w:r>
      <w:r w:rsidR="00F12909">
        <w:rPr>
          <w:bCs/>
          <w:color w:val="000000"/>
        </w:rPr>
        <w:t xml:space="preserve">.  </w:t>
      </w:r>
    </w:p>
    <w:p w14:paraId="1A561D86" w14:textId="3CF84156" w:rsidR="00A049AD" w:rsidRDefault="00F12909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Dal punto organizzativo l’impianto dei PCTO risulta quasi sovrapponibile; cambiano gli obiettivi e in particolare la centralità dell’orientamento.</w:t>
      </w:r>
    </w:p>
    <w:p w14:paraId="7DA66521" w14:textId="24162812" w:rsidR="00ED4988" w:rsidRDefault="00ED4988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Gli allegati delle nuove linee guida sono meno articolati soprattutto per quanto attiene la modulistica, ma il testo richiama </w:t>
      </w:r>
      <w:r w:rsidR="006D3994">
        <w:rPr>
          <w:bCs/>
          <w:color w:val="000000"/>
        </w:rPr>
        <w:t>più volte quella precedente (rimasta in vigore).</w:t>
      </w:r>
    </w:p>
    <w:p w14:paraId="1FB2D3F7" w14:textId="77777777" w:rsidR="006D3994" w:rsidRDefault="006D3994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389BADF4" w14:textId="3D5AEF00" w:rsidR="006D3994" w:rsidRDefault="006D3994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La critica dei sindacati sull’aggravamento del carico di lavoro è infondata perché entrambi i testi stabiliscono la stessa procedura di programmazione/progettazione e gli stessi ruoli per il tutor interno. L’ONERE DI LAVORO per i docenti, che già la guida operativa del 2015 stabiliva, ERA </w:t>
      </w:r>
      <w:r>
        <w:rPr>
          <w:bCs/>
          <w:color w:val="000000"/>
        </w:rPr>
        <w:lastRenderedPageBreak/>
        <w:t>SICURAMENTE SFUGGITO AI SINDACATI.  La pratica insegna che il tempo da dedicare ai PCTO non è assolutamente indifferente e che la nomina a docente tutor è alquanto problematica!</w:t>
      </w:r>
    </w:p>
    <w:p w14:paraId="1CD77FA9" w14:textId="2F0D3AF2" w:rsidR="00394F9A" w:rsidRDefault="00394F9A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BISOGNA ANCHE RICORDARE che l’INCARICO TUTOR PCTO NON È PREVISTO A LIVELLO CONTRATTUALE e quindi non può essere considerato obbligatorio.</w:t>
      </w:r>
    </w:p>
    <w:p w14:paraId="7C16DE79" w14:textId="77777777" w:rsidR="006D3994" w:rsidRDefault="006D3994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1461C517" w14:textId="0627A110" w:rsidR="006D3994" w:rsidRDefault="006D3994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Le nuove linee guida pongono l’attenzione sulla personalizzazione dei percorsi </w:t>
      </w:r>
      <w:r w:rsidR="00394F9A">
        <w:rPr>
          <w:bCs/>
          <w:color w:val="000000"/>
        </w:rPr>
        <w:t xml:space="preserve">e ribadiscono che la loro </w:t>
      </w:r>
      <w:r>
        <w:rPr>
          <w:bCs/>
          <w:color w:val="000000"/>
        </w:rPr>
        <w:t>VALUTAZIONE RICADE SULLA VALUTAZIONE DEGLI APPRENDIMENTI DISCIPLINARI E SULLA VALUTAZIONE DEL COMPORTAMENTO.</w:t>
      </w:r>
    </w:p>
    <w:p w14:paraId="5AF008BC" w14:textId="77777777" w:rsidR="006D3994" w:rsidRDefault="006D3994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590D12E4" w14:textId="77777777" w:rsidR="00AC305C" w:rsidRDefault="00AC305C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59A903D" w14:textId="77777777" w:rsidR="00AC305C" w:rsidRDefault="00AC305C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1895916A" w14:textId="2300C5CE" w:rsidR="00F12909" w:rsidRPr="00AC305C" w:rsidRDefault="00AC305C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AC305C">
        <w:rPr>
          <w:b/>
          <w:bCs/>
          <w:color w:val="000000"/>
          <w:sz w:val="28"/>
          <w:szCs w:val="28"/>
          <w:u w:val="single"/>
        </w:rPr>
        <w:t>ANALISI</w:t>
      </w:r>
    </w:p>
    <w:p w14:paraId="7CA0A8C1" w14:textId="77777777" w:rsidR="00A049AD" w:rsidRDefault="00A049AD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35A3E051" w14:textId="5FA1CF75" w:rsidR="00F12909" w:rsidRDefault="00F12909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3C0B02">
        <w:rPr>
          <w:b/>
          <w:bCs/>
          <w:color w:val="000000"/>
          <w:sz w:val="22"/>
          <w:szCs w:val="22"/>
        </w:rPr>
        <w:t>INQUADRAMENTO CONTESTO EUROPEO E FINALITA’</w:t>
      </w:r>
    </w:p>
    <w:p w14:paraId="1264D3FD" w14:textId="77777777" w:rsidR="00255F4D" w:rsidRDefault="00255F4D" w:rsidP="00255F4D">
      <w:pPr>
        <w:pStyle w:val="Default"/>
      </w:pPr>
    </w:p>
    <w:p w14:paraId="41254CDB" w14:textId="77777777" w:rsidR="00255F4D" w:rsidRPr="00255F4D" w:rsidRDefault="00255F4D" w:rsidP="00255F4D">
      <w:pPr>
        <w:pStyle w:val="Default"/>
        <w:rPr>
          <w:i/>
          <w:sz w:val="20"/>
          <w:szCs w:val="20"/>
        </w:rPr>
      </w:pPr>
      <w:r w:rsidRPr="00255F4D">
        <w:rPr>
          <w:i/>
          <w:sz w:val="20"/>
          <w:szCs w:val="20"/>
        </w:rPr>
        <w:t xml:space="preserve"> Premessa </w:t>
      </w:r>
    </w:p>
    <w:p w14:paraId="4F024406" w14:textId="77777777" w:rsidR="00255F4D" w:rsidRPr="00255F4D" w:rsidRDefault="00255F4D" w:rsidP="00255F4D">
      <w:pPr>
        <w:pStyle w:val="Default"/>
        <w:rPr>
          <w:i/>
          <w:sz w:val="20"/>
          <w:szCs w:val="20"/>
        </w:rPr>
      </w:pPr>
      <w:r w:rsidRPr="00255F4D">
        <w:rPr>
          <w:i/>
          <w:sz w:val="20"/>
          <w:szCs w:val="20"/>
        </w:rPr>
        <w:t xml:space="preserve">1. L’evoluzione degli orientamenti europei </w:t>
      </w:r>
    </w:p>
    <w:p w14:paraId="24F88B8C" w14:textId="77777777" w:rsidR="00255F4D" w:rsidRPr="00255F4D" w:rsidRDefault="00255F4D" w:rsidP="00255F4D">
      <w:pPr>
        <w:pStyle w:val="Default"/>
        <w:rPr>
          <w:i/>
          <w:sz w:val="20"/>
          <w:szCs w:val="20"/>
        </w:rPr>
      </w:pPr>
      <w:r w:rsidRPr="00255F4D">
        <w:rPr>
          <w:i/>
          <w:sz w:val="20"/>
          <w:szCs w:val="20"/>
        </w:rPr>
        <w:t xml:space="preserve">2. La dimensione orientativa dei percorsi </w:t>
      </w:r>
    </w:p>
    <w:p w14:paraId="6E0E4CE1" w14:textId="77777777" w:rsidR="00255F4D" w:rsidRPr="00255F4D" w:rsidRDefault="00255F4D" w:rsidP="00255F4D">
      <w:pPr>
        <w:pStyle w:val="Default"/>
        <w:rPr>
          <w:i/>
          <w:sz w:val="20"/>
          <w:szCs w:val="20"/>
        </w:rPr>
      </w:pPr>
      <w:r w:rsidRPr="00255F4D">
        <w:rPr>
          <w:i/>
          <w:sz w:val="20"/>
          <w:szCs w:val="20"/>
        </w:rPr>
        <w:t xml:space="preserve">3. Le competenze trasversali come traguardo formativo dei percorsi </w:t>
      </w:r>
    </w:p>
    <w:p w14:paraId="45E11FA4" w14:textId="77777777" w:rsidR="00255F4D" w:rsidRPr="003C0B02" w:rsidRDefault="00255F4D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147C2CF2" w14:textId="6AE1485C" w:rsidR="003652CF" w:rsidRPr="00543C1F" w:rsidRDefault="00F2509F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543C1F">
        <w:rPr>
          <w:bCs/>
          <w:color w:val="000000"/>
          <w:sz w:val="20"/>
          <w:szCs w:val="20"/>
        </w:rPr>
        <w:t>L</w:t>
      </w:r>
      <w:r w:rsidR="003652CF" w:rsidRPr="00543C1F">
        <w:rPr>
          <w:bCs/>
          <w:color w:val="000000"/>
          <w:sz w:val="20"/>
          <w:szCs w:val="20"/>
        </w:rPr>
        <w:t xml:space="preserve">e </w:t>
      </w:r>
      <w:r w:rsidR="000C79FF" w:rsidRPr="00543C1F">
        <w:rPr>
          <w:bCs/>
          <w:color w:val="000000"/>
          <w:sz w:val="20"/>
          <w:szCs w:val="20"/>
        </w:rPr>
        <w:t xml:space="preserve">Linee guida ai PCTO </w:t>
      </w:r>
      <w:r w:rsidR="003652CF" w:rsidRPr="00543C1F">
        <w:rPr>
          <w:bCs/>
          <w:color w:val="000000"/>
          <w:sz w:val="20"/>
          <w:szCs w:val="20"/>
        </w:rPr>
        <w:t xml:space="preserve">inquadrano l’attività nel </w:t>
      </w:r>
      <w:r w:rsidR="003652CF" w:rsidRPr="00543C1F">
        <w:rPr>
          <w:bCs/>
          <w:color w:val="000000"/>
          <w:sz w:val="20"/>
          <w:szCs w:val="20"/>
          <w:u w:val="single"/>
        </w:rPr>
        <w:t>contesto europeo</w:t>
      </w:r>
      <w:r w:rsidR="003652CF" w:rsidRPr="00543C1F">
        <w:rPr>
          <w:bCs/>
          <w:color w:val="000000"/>
          <w:sz w:val="20"/>
          <w:szCs w:val="20"/>
        </w:rPr>
        <w:t xml:space="preserve"> in modo ampio, aggiornando quanto già indicato nella</w:t>
      </w:r>
      <w:r w:rsidR="000C79FF" w:rsidRPr="00543C1F">
        <w:rPr>
          <w:bCs/>
          <w:color w:val="000000"/>
          <w:sz w:val="20"/>
          <w:szCs w:val="20"/>
        </w:rPr>
        <w:t xml:space="preserve"> Guida operativa ASL</w:t>
      </w:r>
      <w:r w:rsidR="003652CF" w:rsidRPr="00543C1F">
        <w:rPr>
          <w:bCs/>
          <w:color w:val="000000"/>
          <w:sz w:val="20"/>
          <w:szCs w:val="20"/>
        </w:rPr>
        <w:t xml:space="preserve"> con le più recenti indicazioni. Nel far ciò comunque le Linee guida </w:t>
      </w:r>
      <w:r w:rsidR="00B13289" w:rsidRPr="00543C1F">
        <w:rPr>
          <w:bCs/>
          <w:color w:val="000000"/>
          <w:sz w:val="20"/>
          <w:szCs w:val="20"/>
        </w:rPr>
        <w:t xml:space="preserve">rimandano ad allegati della Guida precedente.  </w:t>
      </w:r>
    </w:p>
    <w:p w14:paraId="5744EC98" w14:textId="77777777" w:rsidR="003652CF" w:rsidRPr="00543C1F" w:rsidRDefault="003652CF" w:rsidP="003652CF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bCs/>
          <w:color w:val="000000"/>
          <w:sz w:val="20"/>
          <w:szCs w:val="20"/>
        </w:rPr>
      </w:pPr>
    </w:p>
    <w:p w14:paraId="68122178" w14:textId="5841E211" w:rsidR="000C79FF" w:rsidRPr="00543C1F" w:rsidRDefault="00B13289" w:rsidP="003652CF">
      <w:pPr>
        <w:pStyle w:val="NormaleWeb"/>
        <w:shd w:val="clear" w:color="auto" w:fill="FFFFFF"/>
        <w:spacing w:before="0" w:beforeAutospacing="0" w:after="0" w:afterAutospacing="0"/>
        <w:ind w:left="66"/>
        <w:jc w:val="both"/>
        <w:rPr>
          <w:bCs/>
          <w:color w:val="000000"/>
          <w:sz w:val="20"/>
          <w:szCs w:val="20"/>
        </w:rPr>
      </w:pPr>
      <w:r w:rsidRPr="00543C1F">
        <w:rPr>
          <w:bCs/>
          <w:color w:val="000000"/>
          <w:sz w:val="20"/>
          <w:szCs w:val="20"/>
          <w:u w:val="single"/>
        </w:rPr>
        <w:t>Documenti</w:t>
      </w:r>
      <w:r w:rsidR="003652CF" w:rsidRPr="00543C1F">
        <w:rPr>
          <w:bCs/>
          <w:color w:val="000000"/>
          <w:sz w:val="20"/>
          <w:szCs w:val="20"/>
          <w:u w:val="single"/>
        </w:rPr>
        <w:t xml:space="preserve"> EUROPEI</w:t>
      </w:r>
      <w:r w:rsidRPr="00543C1F">
        <w:rPr>
          <w:bCs/>
          <w:color w:val="000000"/>
          <w:sz w:val="20"/>
          <w:szCs w:val="20"/>
          <w:u w:val="single"/>
        </w:rPr>
        <w:t xml:space="preserve"> richiamati da linee </w:t>
      </w:r>
      <w:r w:rsidR="006F307D" w:rsidRPr="00543C1F">
        <w:rPr>
          <w:bCs/>
          <w:color w:val="000000"/>
          <w:sz w:val="20"/>
          <w:szCs w:val="20"/>
          <w:u w:val="single"/>
        </w:rPr>
        <w:t xml:space="preserve">guida </w:t>
      </w:r>
      <w:r w:rsidRPr="00543C1F">
        <w:rPr>
          <w:bCs/>
          <w:color w:val="000000"/>
          <w:sz w:val="20"/>
          <w:szCs w:val="20"/>
          <w:u w:val="single"/>
        </w:rPr>
        <w:t>PCTO</w:t>
      </w:r>
      <w:r w:rsidRPr="00543C1F">
        <w:rPr>
          <w:bCs/>
          <w:color w:val="000000"/>
          <w:sz w:val="20"/>
          <w:szCs w:val="20"/>
        </w:rPr>
        <w:t>:</w:t>
      </w:r>
    </w:p>
    <w:p w14:paraId="2BF9DA72" w14:textId="539251C2" w:rsidR="00B13289" w:rsidRPr="00543C1F" w:rsidRDefault="00B13289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bCs/>
          <w:color w:val="000000"/>
          <w:sz w:val="20"/>
          <w:szCs w:val="20"/>
        </w:rPr>
        <w:t>New Skills Agenda for Europe (Consiglio d’Europa giu</w:t>
      </w:r>
      <w:r w:rsidR="006F307D" w:rsidRPr="00543C1F">
        <w:rPr>
          <w:bCs/>
          <w:color w:val="000000"/>
          <w:sz w:val="20"/>
          <w:szCs w:val="20"/>
        </w:rPr>
        <w:t>gn</w:t>
      </w:r>
      <w:r w:rsidRPr="00543C1F">
        <w:rPr>
          <w:bCs/>
          <w:color w:val="000000"/>
          <w:sz w:val="20"/>
          <w:szCs w:val="20"/>
        </w:rPr>
        <w:t>o 2016</w:t>
      </w:r>
      <w:r w:rsidR="006C7655" w:rsidRPr="00543C1F">
        <w:rPr>
          <w:bCs/>
          <w:color w:val="000000"/>
          <w:sz w:val="20"/>
          <w:szCs w:val="20"/>
        </w:rPr>
        <w:t>)</w:t>
      </w:r>
    </w:p>
    <w:p w14:paraId="29F4346D" w14:textId="33BD1066" w:rsidR="00B13289" w:rsidRPr="00543C1F" w:rsidRDefault="00B13289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bCs/>
          <w:color w:val="000000"/>
          <w:sz w:val="20"/>
          <w:szCs w:val="20"/>
        </w:rPr>
        <w:t xml:space="preserve">Competenze chiave per l’apprendimento permanente  - </w:t>
      </w:r>
      <w:r w:rsidRPr="00543C1F">
        <w:rPr>
          <w:bCs/>
          <w:i/>
          <w:iCs/>
          <w:color w:val="000000"/>
          <w:sz w:val="20"/>
          <w:szCs w:val="20"/>
        </w:rPr>
        <w:t>aggiornamento versione precedente</w:t>
      </w:r>
      <w:r w:rsidRPr="00543C1F">
        <w:rPr>
          <w:bCs/>
          <w:color w:val="000000"/>
          <w:sz w:val="20"/>
          <w:szCs w:val="20"/>
        </w:rPr>
        <w:t xml:space="preserve"> </w:t>
      </w:r>
      <w:r w:rsidR="006F307D" w:rsidRPr="00543C1F">
        <w:rPr>
          <w:bCs/>
          <w:i/>
          <w:iCs/>
          <w:color w:val="000000"/>
          <w:sz w:val="20"/>
          <w:szCs w:val="20"/>
        </w:rPr>
        <w:t>del 2006</w:t>
      </w:r>
      <w:r w:rsidR="006F307D" w:rsidRPr="00543C1F">
        <w:rPr>
          <w:bCs/>
          <w:color w:val="000000"/>
          <w:sz w:val="20"/>
          <w:szCs w:val="20"/>
        </w:rPr>
        <w:t xml:space="preserve"> </w:t>
      </w:r>
      <w:r w:rsidRPr="00543C1F">
        <w:rPr>
          <w:bCs/>
          <w:color w:val="000000"/>
          <w:sz w:val="20"/>
          <w:szCs w:val="20"/>
        </w:rPr>
        <w:t>(Consiglio d’Europa 22.5.2018)</w:t>
      </w:r>
    </w:p>
    <w:p w14:paraId="2719DC91" w14:textId="428143F3" w:rsidR="006F307D" w:rsidRPr="00543C1F" w:rsidRDefault="006F307D" w:rsidP="006F307D">
      <w:pPr>
        <w:pStyle w:val="NormaleWeb"/>
        <w:shd w:val="clear" w:color="auto" w:fill="FFFFFF"/>
        <w:spacing w:before="0" w:beforeAutospacing="0" w:after="0" w:afterAutospacing="0"/>
        <w:ind w:left="1276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Il concetto di </w:t>
      </w:r>
      <w:r w:rsidRPr="00543C1F">
        <w:rPr>
          <w:rStyle w:val="Enfasigrassetto"/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competenza è declinato come combinazione di “conoscenze, abilità e atteggiamenti”</w:t>
      </w: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, in cui l’atteggiamento è definito quale “disposizione/mentalità per agire o reagire a idee, persone, situazioni”. Le otto competenze individuate sono:</w:t>
      </w:r>
    </w:p>
    <w:p w14:paraId="031DCAC6" w14:textId="6D972D3E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alfabetica funzionale;</w:t>
      </w:r>
    </w:p>
    <w:p w14:paraId="6906D121" w14:textId="5BAF956A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multilinguistica;</w:t>
      </w:r>
    </w:p>
    <w:p w14:paraId="03160710" w14:textId="7A03E0F1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matematica e competenza in scienze, tecnologie e ingegneria;</w:t>
      </w:r>
    </w:p>
    <w:p w14:paraId="13BDF3B6" w14:textId="01D96ACD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digitale;</w:t>
      </w:r>
    </w:p>
    <w:p w14:paraId="701BA50B" w14:textId="0CE2E7A8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personale, sociale e capacità di imparare ad imparare;</w:t>
      </w:r>
    </w:p>
    <w:p w14:paraId="260ECB96" w14:textId="77DDDFD0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in materia di cittadinanza;</w:t>
      </w:r>
    </w:p>
    <w:p w14:paraId="74B31A47" w14:textId="15E01FD9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imprenditoriale;</w:t>
      </w:r>
    </w:p>
    <w:p w14:paraId="772AE674" w14:textId="523284BF" w:rsidR="006F307D" w:rsidRPr="00543C1F" w:rsidRDefault="006F307D" w:rsidP="006F307D">
      <w:pPr>
        <w:pStyle w:val="Normale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808080" w:themeColor="background1" w:themeShade="80"/>
          <w:sz w:val="20"/>
          <w:szCs w:val="20"/>
        </w:rPr>
      </w:pPr>
      <w:r w:rsidRPr="00543C1F">
        <w:rPr>
          <w:rFonts w:ascii="Verdana" w:hAnsi="Verdana"/>
          <w:i/>
          <w:iCs/>
          <w:color w:val="808080" w:themeColor="background1" w:themeShade="80"/>
          <w:sz w:val="20"/>
          <w:szCs w:val="20"/>
          <w:shd w:val="clear" w:color="auto" w:fill="FFFFFF"/>
        </w:rPr>
        <w:t>• competenza in materia di consapevolezza ed espressione culturali.</w:t>
      </w:r>
    </w:p>
    <w:p w14:paraId="47B1B6CB" w14:textId="2452FD45" w:rsidR="00B13289" w:rsidRPr="00543C1F" w:rsidRDefault="006F307D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sz w:val="20"/>
          <w:szCs w:val="20"/>
        </w:rPr>
        <w:t>competenze multilinguistiche nuovo QCER per le lingue straniere e nuovi descrittori (Volume complementare 2017)</w:t>
      </w:r>
    </w:p>
    <w:p w14:paraId="0FC736BD" w14:textId="4B1C69BE" w:rsidR="006F307D" w:rsidRPr="00543C1F" w:rsidRDefault="006F307D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sz w:val="20"/>
          <w:szCs w:val="20"/>
        </w:rPr>
        <w:t xml:space="preserve">competenze digitali  -  terza versione del </w:t>
      </w:r>
      <w:r w:rsidRPr="00543C1F">
        <w:rPr>
          <w:i/>
          <w:iCs/>
          <w:sz w:val="20"/>
          <w:szCs w:val="20"/>
        </w:rPr>
        <w:t xml:space="preserve">DigComp </w:t>
      </w:r>
      <w:r w:rsidRPr="00543C1F">
        <w:rPr>
          <w:sz w:val="20"/>
          <w:szCs w:val="20"/>
        </w:rPr>
        <w:t>o “</w:t>
      </w:r>
      <w:r w:rsidRPr="00543C1F">
        <w:rPr>
          <w:i/>
          <w:iCs/>
          <w:sz w:val="20"/>
          <w:szCs w:val="20"/>
        </w:rPr>
        <w:t>Quadro europeo della competenza digitale 2.1</w:t>
      </w:r>
      <w:r w:rsidRPr="00543C1F">
        <w:rPr>
          <w:sz w:val="20"/>
          <w:szCs w:val="20"/>
        </w:rPr>
        <w:t xml:space="preserve">” (2017) </w:t>
      </w:r>
    </w:p>
    <w:p w14:paraId="1C1182A8" w14:textId="7F9660A6" w:rsidR="006F307D" w:rsidRPr="00543C1F" w:rsidRDefault="006F307D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sz w:val="20"/>
          <w:szCs w:val="20"/>
        </w:rPr>
        <w:t xml:space="preserve">competenze imprenditoriali intese come spirito di iniziativa e capacità di trasformare le idee in azione </w:t>
      </w:r>
      <w:r w:rsidRPr="00543C1F">
        <w:rPr>
          <w:i/>
          <w:iCs/>
          <w:sz w:val="20"/>
          <w:szCs w:val="20"/>
        </w:rPr>
        <w:t xml:space="preserve">Entre-Comp </w:t>
      </w:r>
      <w:r w:rsidRPr="00543C1F">
        <w:rPr>
          <w:sz w:val="20"/>
          <w:szCs w:val="20"/>
        </w:rPr>
        <w:t>o “</w:t>
      </w:r>
      <w:r w:rsidRPr="00543C1F">
        <w:rPr>
          <w:i/>
          <w:iCs/>
          <w:sz w:val="20"/>
          <w:szCs w:val="20"/>
        </w:rPr>
        <w:t>Quadro europeo della competenza imprenditorialità</w:t>
      </w:r>
      <w:r w:rsidRPr="00543C1F">
        <w:rPr>
          <w:sz w:val="20"/>
          <w:szCs w:val="20"/>
        </w:rPr>
        <w:t>”  (2016)  il cui link di collegamento è riportato in APPENDICE alle presenti Linee guida</w:t>
      </w:r>
    </w:p>
    <w:p w14:paraId="4706B9FD" w14:textId="481B06CB" w:rsidR="006C7655" w:rsidRPr="00543C1F" w:rsidRDefault="006C7655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i/>
          <w:iCs/>
          <w:sz w:val="20"/>
          <w:szCs w:val="20"/>
        </w:rPr>
        <w:t xml:space="preserve">Quadro europeo delle qualificazioni </w:t>
      </w:r>
      <w:r w:rsidRPr="00543C1F">
        <w:rPr>
          <w:sz w:val="20"/>
          <w:szCs w:val="20"/>
        </w:rPr>
        <w:t>EQF (Raccomandazione 2008/C111/01 modificata in C189/03 nel maggio 2017)</w:t>
      </w:r>
    </w:p>
    <w:p w14:paraId="4FE0669F" w14:textId="51EC7A73" w:rsidR="006C7655" w:rsidRPr="00543C1F" w:rsidRDefault="006C7655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i/>
          <w:iCs/>
          <w:sz w:val="20"/>
          <w:szCs w:val="20"/>
        </w:rPr>
        <w:t xml:space="preserve">Quadro italiano delle qualificazioni </w:t>
      </w:r>
      <w:r w:rsidRPr="00543C1F">
        <w:rPr>
          <w:sz w:val="20"/>
          <w:szCs w:val="20"/>
        </w:rPr>
        <w:t>dell’8 gennaio 2018</w:t>
      </w:r>
    </w:p>
    <w:p w14:paraId="6CA7BB59" w14:textId="0B90A3DF" w:rsidR="006C7655" w:rsidRPr="00543C1F" w:rsidRDefault="006C7655" w:rsidP="003652CF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i/>
          <w:iCs/>
          <w:sz w:val="20"/>
          <w:szCs w:val="20"/>
        </w:rPr>
        <w:t xml:space="preserve">Europass </w:t>
      </w:r>
      <w:r w:rsidRPr="00543C1F">
        <w:rPr>
          <w:sz w:val="20"/>
          <w:szCs w:val="20"/>
        </w:rPr>
        <w:t>o “</w:t>
      </w:r>
      <w:r w:rsidRPr="00543C1F">
        <w:rPr>
          <w:i/>
          <w:iCs/>
          <w:sz w:val="20"/>
          <w:szCs w:val="20"/>
        </w:rPr>
        <w:t>Passaporto europeo delle competenze</w:t>
      </w:r>
      <w:r w:rsidRPr="00543C1F">
        <w:rPr>
          <w:sz w:val="20"/>
          <w:szCs w:val="20"/>
        </w:rPr>
        <w:t>” (Decisione 2018/646 dell’aprile 2018 che modifica la 2004/2241)</w:t>
      </w:r>
    </w:p>
    <w:p w14:paraId="1167C6AB" w14:textId="3E997AC8" w:rsidR="006C7655" w:rsidRPr="00543C1F" w:rsidRDefault="006C7655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000000"/>
          <w:sz w:val="20"/>
          <w:szCs w:val="20"/>
        </w:rPr>
      </w:pPr>
      <w:r w:rsidRPr="00543C1F">
        <w:rPr>
          <w:i/>
          <w:iCs/>
          <w:sz w:val="20"/>
          <w:szCs w:val="20"/>
        </w:rPr>
        <w:t>Pilastro europeo dei diritti sociali</w:t>
      </w:r>
      <w:r w:rsidRPr="00543C1F">
        <w:rPr>
          <w:sz w:val="20"/>
          <w:szCs w:val="20"/>
        </w:rPr>
        <w:t>”, istituito sempre nel 2017 (COM/2017/250), che sancisce, come primo dei suoi 20 principi, il diritto di ogni cittadino ad una educazione inclusiva e di qualità al fine di costruire un’Europa più equa</w:t>
      </w:r>
    </w:p>
    <w:p w14:paraId="21081B0E" w14:textId="728A7AC4" w:rsidR="006C7655" w:rsidRPr="00543C1F" w:rsidRDefault="006C7655" w:rsidP="00B13289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851"/>
        <w:jc w:val="both"/>
        <w:rPr>
          <w:bCs/>
          <w:color w:val="808080" w:themeColor="background1" w:themeShade="80"/>
          <w:sz w:val="20"/>
          <w:szCs w:val="20"/>
        </w:rPr>
      </w:pPr>
      <w:r w:rsidRPr="00543C1F">
        <w:rPr>
          <w:i/>
          <w:iCs/>
          <w:sz w:val="20"/>
          <w:szCs w:val="20"/>
        </w:rPr>
        <w:t>Agenda 2030 per una crescita sostenibile</w:t>
      </w:r>
      <w:r w:rsidRPr="00543C1F">
        <w:rPr>
          <w:sz w:val="20"/>
          <w:szCs w:val="20"/>
        </w:rPr>
        <w:t xml:space="preserve">” pubblicata dall’ONU – Organizzazione delle Nazioni Unite   </w:t>
      </w:r>
      <w:r w:rsidRPr="00543C1F">
        <w:rPr>
          <w:color w:val="808080" w:themeColor="background1" w:themeShade="80"/>
          <w:sz w:val="20"/>
          <w:szCs w:val="20"/>
        </w:rPr>
        <w:t xml:space="preserve">Le Linee guida affrontano il problema dell’istruzione “equa ed inclusiva, e opportunità di apprendimento per tutti, senza disparità di genere” &gt;&gt;&gt; PECCATO CHE NELLE PAGINE SUCCESSIVE IL TEMA DISABILITA’ E L’INCLUSIVITA’ SONO IGNORATI  </w:t>
      </w:r>
    </w:p>
    <w:p w14:paraId="4594B42E" w14:textId="74D10FAA" w:rsidR="003652CF" w:rsidRPr="00543C1F" w:rsidRDefault="003652CF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808080" w:themeColor="background1" w:themeShade="80"/>
          <w:sz w:val="20"/>
          <w:szCs w:val="20"/>
        </w:rPr>
      </w:pPr>
    </w:p>
    <w:p w14:paraId="1352ED7D" w14:textId="165E5D2B" w:rsidR="003652CF" w:rsidRPr="00543C1F" w:rsidRDefault="003652CF" w:rsidP="003652C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543C1F">
        <w:rPr>
          <w:bCs/>
          <w:sz w:val="20"/>
          <w:szCs w:val="20"/>
        </w:rPr>
        <w:t>La GUIDA OPERATIVA ASL 2015 stabiliva i seguenti obiettivi:</w:t>
      </w:r>
    </w:p>
    <w:p w14:paraId="47C87EBB" w14:textId="026DC2E3" w:rsidR="003652CF" w:rsidRPr="00543C1F" w:rsidRDefault="003652CF" w:rsidP="00F250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</w:rPr>
        <w:t xml:space="preserve">attuare modalità di </w:t>
      </w:r>
      <w:r w:rsidRPr="00543C1F">
        <w:rPr>
          <w:rFonts w:ascii="Times New Roman" w:hAnsi="Times New Roman" w:cs="Times New Roman"/>
          <w:sz w:val="20"/>
          <w:szCs w:val="20"/>
          <w:u w:val="single"/>
        </w:rPr>
        <w:t xml:space="preserve">apprendimento flessibili </w:t>
      </w:r>
      <w:r w:rsidRPr="00543C1F">
        <w:rPr>
          <w:rFonts w:ascii="Times New Roman" w:hAnsi="Times New Roman" w:cs="Times New Roman"/>
          <w:sz w:val="20"/>
          <w:szCs w:val="20"/>
        </w:rPr>
        <w:t>e equivalenti sotto il profilo culturale ed educativo,</w:t>
      </w:r>
    </w:p>
    <w:p w14:paraId="71B2A087" w14:textId="77777777" w:rsidR="003652CF" w:rsidRPr="00543C1F" w:rsidRDefault="003652CF" w:rsidP="00F2509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</w:rPr>
        <w:t>rispetto agli esiti dei percorsi del secondo ciclo, che colleghino sistematicamente la</w:t>
      </w:r>
    </w:p>
    <w:p w14:paraId="6CC5431E" w14:textId="77777777" w:rsidR="003652CF" w:rsidRPr="00543C1F" w:rsidRDefault="003652CF" w:rsidP="00F2509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</w:rPr>
        <w:t>formazione in aula con l'esperienza pratica;</w:t>
      </w:r>
    </w:p>
    <w:p w14:paraId="0B99637F" w14:textId="491564D9" w:rsidR="003652CF" w:rsidRPr="00543C1F" w:rsidRDefault="003652CF" w:rsidP="00F250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43C1F">
        <w:rPr>
          <w:rFonts w:ascii="Times New Roman" w:hAnsi="Times New Roman" w:cs="Times New Roman"/>
          <w:sz w:val="20"/>
          <w:szCs w:val="20"/>
        </w:rPr>
        <w:t xml:space="preserve">arricchire la formazione acquisita nei percorsi scolastici e formativi con </w:t>
      </w:r>
      <w:r w:rsidRPr="00543C1F">
        <w:rPr>
          <w:rFonts w:ascii="Times New Roman" w:hAnsi="Times New Roman" w:cs="Times New Roman"/>
          <w:sz w:val="20"/>
          <w:szCs w:val="20"/>
          <w:u w:val="single"/>
        </w:rPr>
        <w:t>l'acquisizione di</w:t>
      </w:r>
      <w:r w:rsidR="00F2509F" w:rsidRPr="00543C1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43C1F">
        <w:rPr>
          <w:rFonts w:ascii="Times New Roman" w:hAnsi="Times New Roman" w:cs="Times New Roman"/>
          <w:sz w:val="20"/>
          <w:szCs w:val="20"/>
          <w:u w:val="single"/>
        </w:rPr>
        <w:t>competenze spendibili anche nel mercato del lavoro;</w:t>
      </w:r>
    </w:p>
    <w:p w14:paraId="5FCDFB68" w14:textId="3DC4FC72" w:rsidR="003652CF" w:rsidRPr="00543C1F" w:rsidRDefault="003652CF" w:rsidP="00F250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</w:rPr>
        <w:t xml:space="preserve"> </w:t>
      </w:r>
      <w:r w:rsidRPr="00543C1F">
        <w:rPr>
          <w:rFonts w:ascii="Times New Roman" w:hAnsi="Times New Roman" w:cs="Times New Roman"/>
          <w:sz w:val="20"/>
          <w:szCs w:val="20"/>
          <w:u w:val="single"/>
        </w:rPr>
        <w:t>favorire l'orientamento</w:t>
      </w:r>
      <w:r w:rsidRPr="00543C1F">
        <w:rPr>
          <w:rFonts w:ascii="Times New Roman" w:hAnsi="Times New Roman" w:cs="Times New Roman"/>
          <w:sz w:val="20"/>
          <w:szCs w:val="20"/>
        </w:rPr>
        <w:t xml:space="preserve"> dei giovani per valorizzarne le vocazioni personali, gli interessi egli stili di apprendimento individuali;</w:t>
      </w:r>
    </w:p>
    <w:p w14:paraId="7C32B206" w14:textId="5454BF3E" w:rsidR="003652CF" w:rsidRPr="00543C1F" w:rsidRDefault="003652CF" w:rsidP="00F2509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43C1F">
        <w:rPr>
          <w:rFonts w:ascii="Times New Roman" w:hAnsi="Times New Roman" w:cs="Times New Roman"/>
          <w:sz w:val="20"/>
          <w:szCs w:val="20"/>
        </w:rPr>
        <w:t xml:space="preserve">realizzare </w:t>
      </w:r>
      <w:r w:rsidRPr="00543C1F">
        <w:rPr>
          <w:rFonts w:ascii="Times New Roman" w:hAnsi="Times New Roman" w:cs="Times New Roman"/>
          <w:sz w:val="20"/>
          <w:szCs w:val="20"/>
          <w:u w:val="single"/>
        </w:rPr>
        <w:t>un organico collegamento delle istituzioni scolastiche e formative con il mondo</w:t>
      </w:r>
    </w:p>
    <w:p w14:paraId="3FE489F0" w14:textId="77777777" w:rsidR="003652CF" w:rsidRPr="00543C1F" w:rsidRDefault="003652CF" w:rsidP="00F2509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  <w:u w:val="single"/>
        </w:rPr>
        <w:t>del lavoro e la società civile</w:t>
      </w:r>
      <w:r w:rsidRPr="00543C1F">
        <w:rPr>
          <w:rFonts w:ascii="Times New Roman" w:hAnsi="Times New Roman" w:cs="Times New Roman"/>
          <w:sz w:val="20"/>
          <w:szCs w:val="20"/>
        </w:rPr>
        <w:t>, che consenta la partecipazione attiva dei soggetti di cui</w:t>
      </w:r>
    </w:p>
    <w:p w14:paraId="3D8C9C79" w14:textId="77777777" w:rsidR="003652CF" w:rsidRPr="00543C1F" w:rsidRDefault="003652CF" w:rsidP="00F2509F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3C1F">
        <w:rPr>
          <w:rFonts w:ascii="Times New Roman" w:hAnsi="Times New Roman" w:cs="Times New Roman"/>
          <w:sz w:val="20"/>
          <w:szCs w:val="20"/>
        </w:rPr>
        <w:t>all'articolo 1, comma 2, nei processi formativi;</w:t>
      </w:r>
    </w:p>
    <w:p w14:paraId="456B1B91" w14:textId="3D28E901" w:rsidR="003652CF" w:rsidRPr="00543C1F" w:rsidRDefault="003652CF" w:rsidP="00F2509F">
      <w:pPr>
        <w:pStyle w:val="Normale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543C1F">
        <w:rPr>
          <w:sz w:val="20"/>
          <w:szCs w:val="20"/>
          <w:u w:val="single"/>
        </w:rPr>
        <w:t>correlare l'offerta formativa allo sviluppo culturale, sociale ed economico del territorio.</w:t>
      </w:r>
    </w:p>
    <w:p w14:paraId="657F8F8C" w14:textId="6B718B04" w:rsidR="00F2509F" w:rsidRPr="00543C1F" w:rsidRDefault="00F2509F" w:rsidP="00F2509F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</w:p>
    <w:p w14:paraId="44BF7B49" w14:textId="1D963BE5" w:rsidR="007500FB" w:rsidRPr="00B64C6D" w:rsidRDefault="00F2509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64C6D">
        <w:rPr>
          <w:rFonts w:ascii="Times New Roman" w:hAnsi="Times New Roman" w:cs="Times New Roman"/>
          <w:bCs/>
          <w:color w:val="000000"/>
        </w:rPr>
        <w:t xml:space="preserve">Le Linee guida ai PCTO pongono </w:t>
      </w:r>
      <w:r w:rsidR="00B64C6D" w:rsidRPr="00B64C6D">
        <w:rPr>
          <w:rFonts w:ascii="Times New Roman" w:hAnsi="Times New Roman" w:cs="Times New Roman"/>
          <w:bCs/>
          <w:color w:val="000000"/>
        </w:rPr>
        <w:t xml:space="preserve">come obiettivi </w:t>
      </w:r>
      <w:r w:rsidR="00543C1F" w:rsidRPr="00B64C6D">
        <w:rPr>
          <w:rFonts w:ascii="Times New Roman" w:hAnsi="Times New Roman" w:cs="Times New Roman"/>
          <w:bCs/>
          <w:color w:val="000000"/>
        </w:rPr>
        <w:t xml:space="preserve">la </w:t>
      </w:r>
      <w:r w:rsidR="00543C1F" w:rsidRPr="00B64C6D">
        <w:rPr>
          <w:rFonts w:ascii="Times New Roman" w:hAnsi="Times New Roman" w:cs="Times New Roman"/>
          <w:color w:val="000000"/>
        </w:rPr>
        <w:t xml:space="preserve">dimensione orientativa dei percorsi e </w:t>
      </w:r>
      <w:r w:rsidR="00B64C6D" w:rsidRPr="00B64C6D">
        <w:rPr>
          <w:rFonts w:ascii="Times New Roman" w:hAnsi="Times New Roman" w:cs="Times New Roman"/>
          <w:color w:val="000000"/>
        </w:rPr>
        <w:t>lo sviluppo di</w:t>
      </w:r>
      <w:r w:rsidR="00543C1F" w:rsidRPr="00B64C6D">
        <w:rPr>
          <w:rFonts w:ascii="Times New Roman" w:hAnsi="Times New Roman" w:cs="Times New Roman"/>
          <w:color w:val="000000"/>
        </w:rPr>
        <w:t xml:space="preserve"> competenze trasversali, spostando il centro di interesse verso la formazione dello studente/cittadino. </w:t>
      </w:r>
    </w:p>
    <w:p w14:paraId="278480DB" w14:textId="77777777" w:rsidR="00B64C6D" w:rsidRDefault="00B64C6D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CE20A6" w14:textId="3C4456D4" w:rsidR="00543C1F" w:rsidRDefault="00543C1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L’</w:t>
      </w:r>
      <w:r w:rsidR="007500FB">
        <w:rPr>
          <w:rFonts w:ascii="Times New Roman" w:hAnsi="Times New Roman" w:cs="Times New Roman"/>
          <w:color w:val="000000"/>
          <w:sz w:val="20"/>
          <w:szCs w:val="20"/>
        </w:rPr>
        <w:t>ORIENTAMENTO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è </w:t>
      </w:r>
      <w:r w:rsidR="007500FB">
        <w:rPr>
          <w:rFonts w:ascii="Times New Roman" w:hAnsi="Times New Roman" w:cs="Times New Roman"/>
          <w:color w:val="000000"/>
          <w:sz w:val="20"/>
          <w:szCs w:val="20"/>
        </w:rPr>
        <w:t xml:space="preserve">un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diritto permanente ed è definito come </w:t>
      </w:r>
      <w:r w:rsidRPr="00543C1F">
        <w:rPr>
          <w:rFonts w:ascii="Times New Roman" w:hAnsi="Times New Roman" w:cs="Times New Roman"/>
          <w:sz w:val="20"/>
          <w:szCs w:val="20"/>
        </w:rPr>
        <w:t>“</w:t>
      </w:r>
      <w:r w:rsidRPr="00543C1F">
        <w:rPr>
          <w:rFonts w:ascii="Times New Roman" w:hAnsi="Times New Roman" w:cs="Times New Roman"/>
          <w:i/>
          <w:iCs/>
          <w:sz w:val="20"/>
          <w:szCs w:val="20"/>
        </w:rPr>
        <w:t>processo continuo che mette in grado i cittadini di ogni età, nell'arco della vita, di identificare le proprie capacità, le propri</w:t>
      </w:r>
      <w:r>
        <w:rPr>
          <w:rFonts w:ascii="Times New Roman" w:hAnsi="Times New Roman" w:cs="Times New Roman"/>
          <w:i/>
          <w:iCs/>
          <w:sz w:val="20"/>
          <w:szCs w:val="20"/>
        </w:rPr>
        <w:t>e competenze e i propri interes</w:t>
      </w:r>
      <w:r w:rsidRPr="00543C1F">
        <w:rPr>
          <w:rFonts w:ascii="Times New Roman" w:hAnsi="Times New Roman" w:cs="Times New Roman"/>
          <w:i/>
          <w:iCs/>
          <w:sz w:val="20"/>
          <w:szCs w:val="20"/>
        </w:rPr>
        <w:t>si, prendere decisioni in materia di istruzione, formazione e oc</w:t>
      </w:r>
      <w:r>
        <w:rPr>
          <w:rFonts w:ascii="Times New Roman" w:hAnsi="Times New Roman" w:cs="Times New Roman"/>
          <w:i/>
          <w:iCs/>
          <w:sz w:val="20"/>
          <w:szCs w:val="20"/>
        </w:rPr>
        <w:t>cupazione, nonché gestire i pro</w:t>
      </w:r>
      <w:r w:rsidRPr="00543C1F">
        <w:rPr>
          <w:rFonts w:ascii="Times New Roman" w:hAnsi="Times New Roman" w:cs="Times New Roman"/>
          <w:i/>
          <w:iCs/>
          <w:sz w:val="20"/>
          <w:szCs w:val="20"/>
        </w:rPr>
        <w:t>pri percorsi personali</w:t>
      </w:r>
      <w:r w:rsidRPr="00543C1F">
        <w:rPr>
          <w:rFonts w:ascii="Times New Roman" w:hAnsi="Times New Roman" w:cs="Times New Roman"/>
          <w:sz w:val="20"/>
          <w:szCs w:val="20"/>
        </w:rPr>
        <w:t>”.</w:t>
      </w:r>
    </w:p>
    <w:p w14:paraId="63913A05" w14:textId="023B9D4E" w:rsidR="00445505" w:rsidRPr="00B64C6D" w:rsidRDefault="00445505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C6D">
        <w:rPr>
          <w:rFonts w:ascii="Times New Roman" w:hAnsi="Times New Roman" w:cs="Times New Roman"/>
          <w:sz w:val="20"/>
          <w:szCs w:val="20"/>
        </w:rPr>
        <w:t>L’orientamento non è solo informazione ma diventa formazione</w:t>
      </w:r>
      <w:r w:rsidR="00B64C6D" w:rsidRPr="00B64C6D">
        <w:rPr>
          <w:rFonts w:ascii="Times New Roman" w:hAnsi="Times New Roman" w:cs="Times New Roman"/>
          <w:sz w:val="20"/>
          <w:szCs w:val="20"/>
        </w:rPr>
        <w:t xml:space="preserve"> tramite “percorsi centrati sull’apprendimento situato nel sistema museale e culturale, il potenziamento dell’interculturalità e dell’internazionalizzazione, degli strumenti scientifici o di situazioni immersive in lingua straniera, anche all’estero” anche in situazione non formale.</w:t>
      </w:r>
    </w:p>
    <w:p w14:paraId="03BB552E" w14:textId="77777777" w:rsidR="007500FB" w:rsidRDefault="007500FB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B1542" w14:textId="34256D34" w:rsidR="00543C1F" w:rsidRDefault="00543C1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sottolinea l’importanza del ruolo dei docenti </w:t>
      </w:r>
      <w:r w:rsidR="00B64C6D">
        <w:rPr>
          <w:rFonts w:ascii="Times New Roman" w:hAnsi="Times New Roman" w:cs="Times New Roman"/>
          <w:sz w:val="20"/>
          <w:szCs w:val="20"/>
        </w:rPr>
        <w:t>come facilitatori del</w:t>
      </w:r>
      <w:r w:rsidR="007500FB">
        <w:rPr>
          <w:rFonts w:ascii="Times New Roman" w:hAnsi="Times New Roman" w:cs="Times New Roman"/>
          <w:sz w:val="20"/>
          <w:szCs w:val="20"/>
        </w:rPr>
        <w:t xml:space="preserve"> processo </w:t>
      </w:r>
      <w:r w:rsidR="007500FB" w:rsidRPr="007500FB">
        <w:rPr>
          <w:rFonts w:ascii="Times New Roman" w:hAnsi="Times New Roman" w:cs="Times New Roman"/>
          <w:sz w:val="20"/>
          <w:szCs w:val="20"/>
        </w:rPr>
        <w:t xml:space="preserve">e </w:t>
      </w:r>
      <w:r w:rsidRPr="007500FB">
        <w:rPr>
          <w:rFonts w:ascii="Times New Roman" w:hAnsi="Times New Roman" w:cs="Times New Roman"/>
          <w:sz w:val="20"/>
          <w:szCs w:val="20"/>
        </w:rPr>
        <w:t xml:space="preserve"> l’impegno della scuola nel predisporre  nel PTOF un curriculum formativo unitario con connotazione orientativa.</w:t>
      </w:r>
      <w:r w:rsidR="007500FB" w:rsidRPr="007500FB">
        <w:rPr>
          <w:rFonts w:ascii="Times New Roman" w:hAnsi="Times New Roman" w:cs="Times New Roman"/>
          <w:sz w:val="20"/>
          <w:szCs w:val="20"/>
        </w:rPr>
        <w:t xml:space="preserve"> E’ altrettanto importante coinvolgere le famiglie  nel percorso di orientamento e nello sviluppo delle competenze trasversali</w:t>
      </w:r>
      <w:r w:rsidR="007500FB">
        <w:rPr>
          <w:sz w:val="23"/>
          <w:szCs w:val="23"/>
        </w:rPr>
        <w:t xml:space="preserve"> </w:t>
      </w:r>
    </w:p>
    <w:p w14:paraId="7FB387BB" w14:textId="77777777" w:rsidR="00543C1F" w:rsidRPr="00543C1F" w:rsidRDefault="00543C1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E46AAE1" w14:textId="0CABDA08" w:rsidR="00F2509F" w:rsidRDefault="00543C1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Rispetto alle precedente linee guida, l’obiettivo di acquisire competenze spendibili nel mondo del lavoro è meno evidente; rimane sempre presente la dimensione formativa in ambito culturale, sociale ed economico.</w:t>
      </w:r>
    </w:p>
    <w:p w14:paraId="3F58CC21" w14:textId="77777777" w:rsidR="007500FB" w:rsidRPr="007500FB" w:rsidRDefault="007500FB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1D43E" w14:textId="7E854D4B" w:rsidR="007500FB" w:rsidRPr="006902C0" w:rsidRDefault="007500FB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0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Le </w:t>
      </w:r>
      <w:r w:rsidRPr="006902C0">
        <w:rPr>
          <w:rFonts w:ascii="Times New Roman" w:hAnsi="Times New Roman" w:cs="Times New Roman"/>
          <w:bCs/>
          <w:color w:val="000000"/>
          <w:sz w:val="20"/>
          <w:szCs w:val="20"/>
        </w:rPr>
        <w:t>COMPETENZE TRASVERSALI  (</w:t>
      </w:r>
      <w:r w:rsidRPr="006902C0">
        <w:rPr>
          <w:rFonts w:ascii="Times New Roman" w:hAnsi="Times New Roman" w:cs="Times New Roman"/>
          <w:sz w:val="20"/>
          <w:szCs w:val="20"/>
        </w:rPr>
        <w:t xml:space="preserve">competenze chiave per l’apprendimento permanente) </w:t>
      </w:r>
      <w:r w:rsidRPr="006902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sono presentate </w:t>
      </w:r>
      <w:r w:rsidRPr="007500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come traguardo formativo dei percorsi </w:t>
      </w:r>
      <w:r w:rsidRPr="006902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PCTO</w:t>
      </w:r>
      <w:r w:rsidR="006902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 </w:t>
      </w:r>
      <w:r w:rsidRPr="006902C0">
        <w:rPr>
          <w:rFonts w:ascii="Times New Roman" w:hAnsi="Times New Roman" w:cs="Times New Roman"/>
          <w:sz w:val="20"/>
          <w:szCs w:val="20"/>
        </w:rPr>
        <w:t xml:space="preserve">si caratterizzano per l’alto grado di </w:t>
      </w:r>
      <w:r w:rsidRPr="006902C0">
        <w:rPr>
          <w:rFonts w:ascii="Times New Roman" w:hAnsi="Times New Roman" w:cs="Times New Roman"/>
          <w:i/>
          <w:iCs/>
          <w:sz w:val="20"/>
          <w:szCs w:val="20"/>
        </w:rPr>
        <w:t xml:space="preserve">trasferibilità </w:t>
      </w:r>
      <w:r w:rsidRPr="006902C0">
        <w:rPr>
          <w:rFonts w:ascii="Times New Roman" w:hAnsi="Times New Roman" w:cs="Times New Roman"/>
          <w:sz w:val="20"/>
          <w:szCs w:val="20"/>
        </w:rPr>
        <w:t>in compiti e ambienti diversi</w:t>
      </w:r>
      <w:r w:rsidR="006902C0" w:rsidRPr="006902C0">
        <w:rPr>
          <w:rFonts w:ascii="Times New Roman" w:hAnsi="Times New Roman" w:cs="Times New Roman"/>
          <w:sz w:val="20"/>
          <w:szCs w:val="20"/>
        </w:rPr>
        <w:t xml:space="preserve"> e vengono riassunte in:</w:t>
      </w:r>
    </w:p>
    <w:p w14:paraId="4B0FC6BC" w14:textId="77777777" w:rsidR="006902C0" w:rsidRP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2C0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02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competenza personale, sociale e capacità di imparare a imparare; </w:t>
      </w:r>
    </w:p>
    <w:p w14:paraId="37480226" w14:textId="77777777" w:rsidR="006902C0" w:rsidRP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2C0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02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competenza in materia di cittadinanza; </w:t>
      </w:r>
    </w:p>
    <w:p w14:paraId="60873C33" w14:textId="77777777" w:rsidR="006902C0" w:rsidRP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2C0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02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competenza imprenditoriale; </w:t>
      </w:r>
    </w:p>
    <w:p w14:paraId="3F1D6CE9" w14:textId="77777777" w:rsidR="006902C0" w:rsidRP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02C0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02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competenza in materia di consapevolezza ed espressione culturali</w:t>
      </w:r>
      <w:r w:rsidRPr="006902C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303B6C10" w14:textId="77777777" w:rsid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E6318A5" w14:textId="3FAC2A39" w:rsidR="00543C1F" w:rsidRPr="006902C0" w:rsidRDefault="006902C0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Particolare accento viene posto sul MONITORAGGIO dei percorsi e sulla loro VALUTAZIONE al termine; la scuola deve predisporre il </w:t>
      </w:r>
      <w:r w:rsidRPr="006902C0">
        <w:rPr>
          <w:rFonts w:ascii="Times New Roman" w:hAnsi="Times New Roman" w:cs="Times New Roman"/>
          <w:i/>
          <w:color w:val="000000"/>
          <w:sz w:val="20"/>
          <w:szCs w:val="20"/>
        </w:rPr>
        <w:t>Curriculum dello studente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 al termine del percorso scolastico rilasciare la </w:t>
      </w:r>
      <w:r w:rsidRPr="006902C0">
        <w:rPr>
          <w:rFonts w:ascii="Times New Roman" w:hAnsi="Times New Roman" w:cs="Times New Roman"/>
          <w:i/>
          <w:color w:val="000000"/>
          <w:sz w:val="20"/>
          <w:szCs w:val="20"/>
        </w:rPr>
        <w:t>certificazione delle competenze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7500FB" w:rsidRPr="006902C0">
        <w:rPr>
          <w:rFonts w:ascii="Times New Roman" w:hAnsi="Times New Roman" w:cs="Times New Roman"/>
          <w:sz w:val="20"/>
          <w:szCs w:val="20"/>
        </w:rPr>
        <w:t>l monitoraggio del percorso formativo, deve utilizzare idonei strumenti atti a rilevare non solo i traguardi definiti, ma anche il grado di consapevolezza personale attivato dallo studente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4729F9" w14:textId="77777777" w:rsidR="006C7655" w:rsidRPr="006902C0" w:rsidRDefault="006C7655" w:rsidP="003A71E8">
      <w:pPr>
        <w:pStyle w:val="NormaleWeb"/>
        <w:shd w:val="clear" w:color="auto" w:fill="FFFFFF"/>
        <w:spacing w:before="0" w:beforeAutospacing="0" w:after="0" w:afterAutospacing="0"/>
        <w:ind w:left="851"/>
        <w:jc w:val="both"/>
        <w:rPr>
          <w:bCs/>
          <w:color w:val="808080" w:themeColor="background1" w:themeShade="80"/>
          <w:sz w:val="20"/>
          <w:szCs w:val="20"/>
        </w:rPr>
      </w:pPr>
    </w:p>
    <w:p w14:paraId="06FE26D0" w14:textId="77777777" w:rsidR="00B13289" w:rsidRPr="00543C1F" w:rsidRDefault="00B13289" w:rsidP="003A71E8">
      <w:pPr>
        <w:pStyle w:val="NormaleWeb"/>
        <w:shd w:val="clear" w:color="auto" w:fill="FFFFFF"/>
        <w:spacing w:before="0" w:beforeAutospacing="0" w:after="0" w:afterAutospacing="0"/>
        <w:ind w:left="426"/>
        <w:jc w:val="both"/>
        <w:rPr>
          <w:bCs/>
          <w:color w:val="000000"/>
          <w:sz w:val="20"/>
          <w:szCs w:val="20"/>
        </w:rPr>
      </w:pPr>
    </w:p>
    <w:p w14:paraId="4971C132" w14:textId="447DAE6A" w:rsidR="00D91634" w:rsidRDefault="003A71E8" w:rsidP="003A7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4. </w:t>
      </w:r>
      <w:r w:rsidR="00D91634" w:rsidRPr="00D916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ATTUAZIONE PERCORSI PCTO</w:t>
      </w:r>
      <w:r w:rsidR="00D916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D2D5DE1" w14:textId="2CF63420" w:rsidR="00110827" w:rsidRDefault="00D91634" w:rsidP="003A7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 confronto delle  nuove  indicazioni rispetto alla GUIDA OPERATIVA ASL </w:t>
      </w:r>
      <w:r w:rsidR="00255F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–</w:t>
      </w:r>
    </w:p>
    <w:p w14:paraId="002B1705" w14:textId="77777777" w:rsidR="00255F4D" w:rsidRDefault="00255F4D" w:rsidP="003A71E8">
      <w:pPr>
        <w:pStyle w:val="Default"/>
        <w:jc w:val="both"/>
      </w:pPr>
      <w:r>
        <w:t xml:space="preserve"> </w:t>
      </w:r>
    </w:p>
    <w:p w14:paraId="101ECDFF" w14:textId="77777777" w:rsidR="00255F4D" w:rsidRPr="00255F4D" w:rsidRDefault="00255F4D" w:rsidP="003A71E8">
      <w:pPr>
        <w:pStyle w:val="Default"/>
        <w:jc w:val="both"/>
        <w:rPr>
          <w:sz w:val="20"/>
          <w:szCs w:val="20"/>
        </w:rPr>
      </w:pPr>
      <w:r w:rsidRPr="00255F4D">
        <w:rPr>
          <w:sz w:val="20"/>
          <w:szCs w:val="20"/>
        </w:rPr>
        <w:t xml:space="preserve">4. L’attuazione dei percorsi: </w:t>
      </w:r>
    </w:p>
    <w:p w14:paraId="08D16571" w14:textId="77777777" w:rsidR="00255F4D" w:rsidRPr="00255F4D" w:rsidRDefault="00255F4D" w:rsidP="003A71E8">
      <w:pPr>
        <w:pStyle w:val="Default"/>
        <w:jc w:val="both"/>
        <w:rPr>
          <w:sz w:val="20"/>
          <w:szCs w:val="20"/>
        </w:rPr>
      </w:pPr>
      <w:r w:rsidRPr="00255F4D">
        <w:rPr>
          <w:i/>
          <w:iCs/>
          <w:sz w:val="20"/>
          <w:szCs w:val="20"/>
        </w:rPr>
        <w:t xml:space="preserve">4.1 Una progettazione flessibile e personalizzata </w:t>
      </w:r>
    </w:p>
    <w:p w14:paraId="642D4B90" w14:textId="77777777" w:rsidR="00255F4D" w:rsidRPr="00255F4D" w:rsidRDefault="00255F4D" w:rsidP="003A71E8">
      <w:pPr>
        <w:pStyle w:val="Default"/>
        <w:jc w:val="both"/>
        <w:rPr>
          <w:sz w:val="20"/>
          <w:szCs w:val="20"/>
        </w:rPr>
      </w:pPr>
      <w:r w:rsidRPr="00255F4D">
        <w:rPr>
          <w:i/>
          <w:iCs/>
          <w:sz w:val="20"/>
          <w:szCs w:val="20"/>
        </w:rPr>
        <w:t xml:space="preserve">4.2 Livelli e modalità di progettazione e gestione organizzativa dei percorsi </w:t>
      </w:r>
    </w:p>
    <w:p w14:paraId="38B8C975" w14:textId="77777777" w:rsidR="00255F4D" w:rsidRPr="00255F4D" w:rsidRDefault="00255F4D" w:rsidP="003A71E8">
      <w:pPr>
        <w:pStyle w:val="Default"/>
        <w:jc w:val="both"/>
        <w:rPr>
          <w:sz w:val="20"/>
          <w:szCs w:val="20"/>
        </w:rPr>
      </w:pPr>
      <w:r w:rsidRPr="00255F4D">
        <w:rPr>
          <w:i/>
          <w:iCs/>
          <w:sz w:val="20"/>
          <w:szCs w:val="20"/>
        </w:rPr>
        <w:t xml:space="preserve">4.3 La personalizzazione dei percorsi </w:t>
      </w:r>
    </w:p>
    <w:p w14:paraId="24155A02" w14:textId="77777777" w:rsidR="00255F4D" w:rsidRPr="00255F4D" w:rsidRDefault="00255F4D" w:rsidP="003A71E8">
      <w:pPr>
        <w:pStyle w:val="Default"/>
        <w:jc w:val="both"/>
        <w:rPr>
          <w:sz w:val="20"/>
          <w:szCs w:val="20"/>
        </w:rPr>
      </w:pPr>
      <w:r w:rsidRPr="00255F4D">
        <w:rPr>
          <w:i/>
          <w:iCs/>
          <w:sz w:val="20"/>
          <w:szCs w:val="20"/>
        </w:rPr>
        <w:t xml:space="preserve">4.4 La valutazione degli apprendimenti e la certificazione delle competenze </w:t>
      </w:r>
    </w:p>
    <w:p w14:paraId="32B4388E" w14:textId="77777777" w:rsidR="00255F4D" w:rsidRDefault="00255F4D" w:rsidP="003A7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9F0BF99" w14:textId="77777777" w:rsidR="00D91634" w:rsidRPr="00D91634" w:rsidRDefault="00D91634" w:rsidP="003A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9163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testo richiama il precedente e in particolare: </w:t>
      </w:r>
    </w:p>
    <w:p w14:paraId="504B2915" w14:textId="77777777" w:rsidR="00D91634" w:rsidRPr="00D91634" w:rsidRDefault="00D91634" w:rsidP="003A71E8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91634">
        <w:rPr>
          <w:rFonts w:ascii="Times New Roman" w:eastAsia="Times New Roman" w:hAnsi="Times New Roman" w:cs="Times New Roman"/>
          <w:sz w:val="20"/>
          <w:szCs w:val="20"/>
          <w:lang w:eastAsia="it-IT"/>
        </w:rPr>
        <w:t>il collegamento con il contesto territoriale</w:t>
      </w:r>
    </w:p>
    <w:p w14:paraId="28669897" w14:textId="77777777" w:rsidR="00D91634" w:rsidRDefault="00D91634" w:rsidP="003A71E8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91634">
        <w:rPr>
          <w:rFonts w:ascii="Times New Roman" w:eastAsia="Times New Roman" w:hAnsi="Times New Roman" w:cs="Times New Roman"/>
          <w:sz w:val="20"/>
          <w:szCs w:val="20"/>
          <w:lang w:eastAsia="it-IT"/>
        </w:rPr>
        <w:t>la  necessità di inserire nel PTOF le scelte della scuola</w:t>
      </w:r>
    </w:p>
    <w:p w14:paraId="577BBBE6" w14:textId="5484D4D8" w:rsidR="00D91634" w:rsidRDefault="00D91634" w:rsidP="003A71E8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necessaria diversa impostazione  PCTO per indirizzi scolastici (licei, ist. Tecn</w:t>
      </w:r>
      <w:r w:rsidR="00F12909">
        <w:rPr>
          <w:rFonts w:ascii="Times New Roman" w:eastAsia="Times New Roman" w:hAnsi="Times New Roman" w:cs="Times New Roman"/>
          <w:sz w:val="20"/>
          <w:szCs w:val="20"/>
          <w:lang w:eastAsia="it-IT"/>
        </w:rPr>
        <w:t>. e profess)</w:t>
      </w:r>
    </w:p>
    <w:p w14:paraId="496E378D" w14:textId="47F4DF0F" w:rsidR="00D91634" w:rsidRDefault="00D91634" w:rsidP="003A71E8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ruolo </w:t>
      </w:r>
      <w:r w:rsidR="00F12909">
        <w:rPr>
          <w:rFonts w:ascii="Times New Roman" w:eastAsia="Times New Roman" w:hAnsi="Times New Roman" w:cs="Times New Roman"/>
          <w:sz w:val="20"/>
          <w:szCs w:val="20"/>
          <w:lang w:eastAsia="it-IT"/>
        </w:rPr>
        <w:t>organizzativo e di programmazione del Collegio Docenti</w:t>
      </w:r>
      <w:r w:rsidR="00ED4988">
        <w:rPr>
          <w:rFonts w:ascii="Times New Roman" w:eastAsia="Times New Roman" w:hAnsi="Times New Roman" w:cs="Times New Roman"/>
          <w:sz w:val="20"/>
          <w:szCs w:val="20"/>
          <w:lang w:eastAsia="it-IT"/>
        </w:rPr>
        <w:t>, dei dipartimenti disciplinari</w:t>
      </w:r>
      <w:r w:rsidR="00F129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dei Consigli di Classe</w:t>
      </w:r>
    </w:p>
    <w:p w14:paraId="06E63ABD" w14:textId="77777777" w:rsidR="00F12909" w:rsidRDefault="00F12909" w:rsidP="003A71E8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E5DD6FC" w14:textId="0893E1EC" w:rsidR="00F12909" w:rsidRPr="00F12909" w:rsidRDefault="00F12909" w:rsidP="003A71E8">
      <w:pPr>
        <w:pStyle w:val="Default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it-IT"/>
        </w:rPr>
        <w:lastRenderedPageBreak/>
        <w:t xml:space="preserve">E’ sottolineato che la progettazione PCTO </w:t>
      </w:r>
      <w:r w:rsidRPr="00F12909">
        <w:rPr>
          <w:rFonts w:eastAsia="Times New Roman"/>
          <w:sz w:val="20"/>
          <w:szCs w:val="20"/>
          <w:lang w:eastAsia="it-IT"/>
        </w:rPr>
        <w:t>deve</w:t>
      </w:r>
      <w:r w:rsidRPr="00F12909">
        <w:rPr>
          <w:sz w:val="20"/>
          <w:szCs w:val="20"/>
        </w:rPr>
        <w:t xml:space="preserve"> contemperare: la </w:t>
      </w:r>
      <w:r w:rsidRPr="00F12909">
        <w:rPr>
          <w:i/>
          <w:iCs/>
          <w:sz w:val="20"/>
          <w:szCs w:val="20"/>
        </w:rPr>
        <w:t>dimensione curriculare</w:t>
      </w:r>
      <w:r>
        <w:rPr>
          <w:sz w:val="20"/>
          <w:szCs w:val="20"/>
        </w:rPr>
        <w:t xml:space="preserve">, </w:t>
      </w:r>
      <w:r w:rsidRPr="00F12909">
        <w:rPr>
          <w:sz w:val="20"/>
          <w:szCs w:val="20"/>
        </w:rPr>
        <w:t xml:space="preserve">la </w:t>
      </w:r>
      <w:r w:rsidRPr="00F12909">
        <w:rPr>
          <w:i/>
          <w:iCs/>
          <w:sz w:val="20"/>
          <w:szCs w:val="20"/>
        </w:rPr>
        <w:t>dimensione esperienziale</w:t>
      </w:r>
      <w:r>
        <w:rPr>
          <w:sz w:val="20"/>
          <w:szCs w:val="20"/>
        </w:rPr>
        <w:t>,</w:t>
      </w:r>
      <w:r w:rsidRPr="00F12909">
        <w:rPr>
          <w:sz w:val="20"/>
          <w:szCs w:val="20"/>
        </w:rPr>
        <w:t xml:space="preserve"> la </w:t>
      </w:r>
      <w:r w:rsidRPr="00F12909">
        <w:rPr>
          <w:i/>
          <w:iCs/>
          <w:sz w:val="20"/>
          <w:szCs w:val="20"/>
        </w:rPr>
        <w:t>dimensione orientativa</w:t>
      </w:r>
      <w:r w:rsidRPr="00F12909">
        <w:rPr>
          <w:sz w:val="20"/>
          <w:szCs w:val="20"/>
        </w:rPr>
        <w:t xml:space="preserve">. </w:t>
      </w:r>
    </w:p>
    <w:p w14:paraId="394A8A33" w14:textId="5486A7B2" w:rsidR="00F12909" w:rsidRDefault="00F12909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Sono richiamate le </w:t>
      </w:r>
      <w:r w:rsidRPr="00ED498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varie modalità organizzative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 stage, visite aziendali, la “modalità transazionale” (stage internazionali), l’impresa formativa simulata, il service learning</w:t>
      </w:r>
      <w:r w:rsidR="00ED4988">
        <w:rPr>
          <w:rFonts w:ascii="Times New Roman" w:eastAsia="Times New Roman" w:hAnsi="Times New Roman" w:cs="Times New Roman"/>
          <w:sz w:val="20"/>
          <w:szCs w:val="20"/>
          <w:lang w:eastAsia="it-IT"/>
        </w:rPr>
        <w:t>, la collaborazione con il terzo settore.</w:t>
      </w:r>
    </w:p>
    <w:p w14:paraId="181E1134" w14:textId="77777777" w:rsidR="00ED4988" w:rsidRDefault="00ED4988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BD3B09" w14:textId="6491B29A" w:rsidR="00ED4988" w:rsidRDefault="003A71E8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percorsi PCTO effettuati devono essere </w:t>
      </w:r>
      <w:r w:rsidR="00ED4988" w:rsidRPr="0005081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verifica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ti e valutati</w:t>
      </w:r>
      <w:r w:rsidR="00ED498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ed in particolare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va operata una </w:t>
      </w:r>
      <w:r w:rsidR="00ED4988" w:rsidRPr="00ED498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valutazione in fase di scrutinio</w:t>
      </w:r>
      <w:r w:rsidR="00ED4988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618F0AF8" w14:textId="46064295" w:rsidR="00ED4988" w:rsidRPr="00050815" w:rsidRDefault="00ED4988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05081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“</w:t>
      </w:r>
      <w:r w:rsidRPr="00050815">
        <w:rPr>
          <w:rFonts w:ascii="Times New Roman" w:hAnsi="Times New Roman" w:cs="Times New Roman"/>
          <w:i/>
          <w:sz w:val="20"/>
          <w:szCs w:val="20"/>
        </w:rPr>
        <w:t xml:space="preserve">In sede di scrutinio, quindi, ciascun docente, nell’esprimere la valutazione relativa ai traguardi formativi raggiunti dagli studenti, tiene conto anche del livello di possesso delle competenze promosse attraverso i PCTO e ricollegate alla propria disciplina di insegnamento in fase di programmazione individuale - osservato durante la realizzazione dei percorsi, formulando una proposta di voto di profitto e fornendo </w:t>
      </w:r>
      <w:r w:rsidRPr="00050815">
        <w:rPr>
          <w:rFonts w:ascii="Times New Roman" w:hAnsi="Times New Roman" w:cs="Times New Roman"/>
          <w:b/>
          <w:i/>
          <w:sz w:val="20"/>
          <w:szCs w:val="20"/>
        </w:rPr>
        <w:t>elementi per l’espressione collegiale del voto di comportamento.”</w:t>
      </w:r>
    </w:p>
    <w:p w14:paraId="718056B9" w14:textId="77777777" w:rsidR="00ED4988" w:rsidRDefault="00ED4988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352139" w14:textId="2C4EC538" w:rsidR="00ED4988" w:rsidRDefault="00ED4988" w:rsidP="003A71E8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</w:t>
      </w:r>
      <w:r w:rsidRPr="00ED498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co-progettazione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sottolineata in più punti, richiamando il </w:t>
      </w:r>
      <w:r w:rsidRPr="003A71E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coinvolgimento di studenti e famiglie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il ruolo del </w:t>
      </w:r>
      <w:r w:rsidRPr="00ED4988">
        <w:rPr>
          <w:b/>
          <w:bCs/>
          <w:i/>
          <w:iCs/>
          <w:sz w:val="20"/>
          <w:szCs w:val="20"/>
        </w:rPr>
        <w:t xml:space="preserve">Comitato Tecnico Scientifico </w:t>
      </w:r>
      <w:r w:rsidRPr="00ED4988">
        <w:rPr>
          <w:sz w:val="20"/>
          <w:szCs w:val="20"/>
        </w:rPr>
        <w:t xml:space="preserve">(CTS) o del </w:t>
      </w:r>
      <w:r w:rsidRPr="00ED4988">
        <w:rPr>
          <w:b/>
          <w:bCs/>
          <w:i/>
          <w:iCs/>
          <w:sz w:val="20"/>
          <w:szCs w:val="20"/>
        </w:rPr>
        <w:t xml:space="preserve">Comitato Scientifico </w:t>
      </w:r>
      <w:r w:rsidRPr="00ED4988">
        <w:rPr>
          <w:sz w:val="20"/>
          <w:szCs w:val="20"/>
        </w:rPr>
        <w:t>(CS).</w:t>
      </w:r>
    </w:p>
    <w:p w14:paraId="0185CB33" w14:textId="30B7E11B" w:rsidR="00ED4988" w:rsidRDefault="00ED4988" w:rsidP="003A71E8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</w:p>
    <w:p w14:paraId="1943A25A" w14:textId="3B24DB08" w:rsidR="00ED4988" w:rsidRDefault="00ED4988" w:rsidP="003A71E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3994">
        <w:rPr>
          <w:rFonts w:ascii="Times New Roman" w:hAnsi="Times New Roman" w:cs="Times New Roman"/>
          <w:sz w:val="20"/>
          <w:szCs w:val="20"/>
        </w:rPr>
        <w:t xml:space="preserve">L’aspetto della </w:t>
      </w:r>
      <w:r w:rsidRPr="006D3994">
        <w:rPr>
          <w:rFonts w:ascii="Times New Roman" w:hAnsi="Times New Roman" w:cs="Times New Roman"/>
          <w:sz w:val="20"/>
          <w:szCs w:val="20"/>
          <w:u w:val="single"/>
        </w:rPr>
        <w:t>valutazione</w:t>
      </w:r>
      <w:r w:rsidR="006D3994" w:rsidRPr="006D3994">
        <w:rPr>
          <w:rFonts w:ascii="Times New Roman" w:hAnsi="Times New Roman" w:cs="Times New Roman"/>
          <w:sz w:val="20"/>
          <w:szCs w:val="20"/>
        </w:rPr>
        <w:t xml:space="preserve"> è ripreso nella parte dedicata alla personalizzazione e si esplicita che </w:t>
      </w:r>
      <w:r w:rsidR="006D3994" w:rsidRPr="00050815">
        <w:rPr>
          <w:rFonts w:ascii="Times New Roman" w:hAnsi="Times New Roman" w:cs="Times New Roman"/>
          <w:i/>
          <w:sz w:val="20"/>
          <w:szCs w:val="20"/>
        </w:rPr>
        <w:t xml:space="preserve">“il Consiglio di classe procede alla </w:t>
      </w:r>
      <w:r w:rsidR="006D3994" w:rsidRPr="00050815">
        <w:rPr>
          <w:rFonts w:ascii="Times New Roman" w:hAnsi="Times New Roman" w:cs="Times New Roman"/>
          <w:b/>
          <w:bCs/>
          <w:i/>
          <w:sz w:val="20"/>
          <w:szCs w:val="20"/>
        </w:rPr>
        <w:t>valutazione degli esiti delle attività dei PCTO e della loro ricaduta sugli apprendimenti disciplinari e sulla valutazione del comportamento</w:t>
      </w:r>
      <w:r w:rsidR="006D3994" w:rsidRPr="00050815">
        <w:rPr>
          <w:rFonts w:ascii="Times New Roman" w:hAnsi="Times New Roman" w:cs="Times New Roman"/>
          <w:i/>
          <w:sz w:val="20"/>
          <w:szCs w:val="20"/>
        </w:rPr>
        <w:t xml:space="preserve"> (L’incidenza delle esperienze di PCTO sulla valutazione del comportamento è collegata all’atteggiamento e all’impegno dello studente durante l’attività presso la struttura ospitante, essendo valorizzato il ruolo attivo e propositivo eventualmente manifestato dall’alunno ed evidenziato dal tutor esterno)</w:t>
      </w:r>
      <w:r w:rsidR="00050815" w:rsidRPr="00050815">
        <w:rPr>
          <w:rFonts w:ascii="Times New Roman" w:hAnsi="Times New Roman" w:cs="Times New Roman"/>
          <w:i/>
          <w:sz w:val="20"/>
          <w:szCs w:val="20"/>
        </w:rPr>
        <w:t>”</w:t>
      </w:r>
      <w:r w:rsidR="006D3994" w:rsidRPr="00050815">
        <w:rPr>
          <w:rFonts w:ascii="Times New Roman" w:hAnsi="Times New Roman" w:cs="Times New Roman"/>
          <w:i/>
          <w:sz w:val="20"/>
          <w:szCs w:val="20"/>
        </w:rPr>
        <w:t>.</w:t>
      </w:r>
    </w:p>
    <w:p w14:paraId="24F0DF0B" w14:textId="77777777" w:rsidR="006D3994" w:rsidRDefault="006D3994" w:rsidP="003A71E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DC2D28" w14:textId="50309FA4" w:rsidR="00ED4988" w:rsidRPr="006D3994" w:rsidRDefault="00050815" w:rsidP="003A71E8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A termine del ciclo di studi tutto deve</w:t>
      </w:r>
      <w:r w:rsidR="003C0B02">
        <w:rPr>
          <w:rFonts w:ascii="Times New Roman" w:hAnsi="Times New Roman" w:cs="Times New Roman"/>
          <w:sz w:val="20"/>
          <w:szCs w:val="20"/>
        </w:rPr>
        <w:t xml:space="preserve"> confluire nella CERTIFICAZIONE FINALE DELLE COMPETENZE, che confluisce nel CURRICULUM DELLO STUDENTE, allegato al diploma finale</w:t>
      </w:r>
      <w:r w:rsidR="00AC305C">
        <w:rPr>
          <w:rFonts w:ascii="Times New Roman" w:hAnsi="Times New Roman" w:cs="Times New Roman"/>
          <w:sz w:val="20"/>
          <w:szCs w:val="20"/>
        </w:rPr>
        <w:t>.</w:t>
      </w:r>
    </w:p>
    <w:p w14:paraId="02506BDF" w14:textId="77777777" w:rsidR="00AC305C" w:rsidRPr="00AC305C" w:rsidRDefault="00AC305C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470521" w14:textId="1DE1DE19" w:rsidR="00AC305C" w:rsidRPr="003A71E8" w:rsidRDefault="00255F4D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AC305C" w:rsidRPr="003A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PARTECIPAZIONE, I DIRITTI E I DOVERI DEGLI STUDENTI IMPEGNATI NEI PERCORSI </w:t>
      </w:r>
    </w:p>
    <w:p w14:paraId="233310BA" w14:textId="7B73559E" w:rsidR="00AC305C" w:rsidRDefault="00AC305C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C305C">
        <w:rPr>
          <w:rFonts w:ascii="Times New Roman" w:hAnsi="Times New Roman" w:cs="Times New Roman"/>
          <w:color w:val="000000"/>
          <w:sz w:val="20"/>
          <w:szCs w:val="20"/>
        </w:rPr>
        <w:t xml:space="preserve">Il testo riprende la guida operativa ASL 2015 e la integra sulla base della </w:t>
      </w:r>
      <w:r w:rsidRPr="00AC305C">
        <w:rPr>
          <w:rFonts w:ascii="Times New Roman" w:hAnsi="Times New Roman" w:cs="Times New Roman"/>
          <w:bCs/>
          <w:sz w:val="20"/>
          <w:szCs w:val="20"/>
        </w:rPr>
        <w:t>Carta dei diritti e dei doveri degli studenti (3.11.2017)</w:t>
      </w:r>
      <w:r>
        <w:rPr>
          <w:rFonts w:ascii="Times New Roman" w:hAnsi="Times New Roman" w:cs="Times New Roman"/>
          <w:bCs/>
          <w:sz w:val="20"/>
          <w:szCs w:val="20"/>
        </w:rPr>
        <w:t>. In appendice è riportato il modulo di PATTO FROMATIVO, corrispondente all’analogo modulo del 2015.</w:t>
      </w:r>
    </w:p>
    <w:p w14:paraId="788BB160" w14:textId="77777777" w:rsidR="002503F5" w:rsidRDefault="002503F5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9CA8E4" w14:textId="7D1232B4" w:rsidR="00AC305C" w:rsidRPr="003A71E8" w:rsidRDefault="00255F4D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2503F5" w:rsidRPr="003A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 MISURE DI TUTELA DELLA SALUTE E SICUREZZA DEGLI STUDENTI FREQUENTANTI I PERCORSI </w:t>
      </w:r>
    </w:p>
    <w:p w14:paraId="06189F7B" w14:textId="342023C9" w:rsidR="002503F5" w:rsidRDefault="002503F5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03F5">
        <w:rPr>
          <w:rFonts w:ascii="Times New Roman" w:hAnsi="Times New Roman" w:cs="Times New Roman"/>
          <w:color w:val="000000"/>
          <w:sz w:val="20"/>
          <w:szCs w:val="20"/>
        </w:rPr>
        <w:t>Si esamina il problema della formazione degli studenti sulla sicurezza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realizzabile in tempi successivi:</w:t>
      </w:r>
    </w:p>
    <w:p w14:paraId="23CDA44A" w14:textId="0B3C233C" w:rsidR="002503F5" w:rsidRDefault="002503F5" w:rsidP="003A71E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03F5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r w:rsidRPr="0005081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formazione generale</w:t>
      </w:r>
      <w:r w:rsidRPr="002503F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503F5">
        <w:rPr>
          <w:rFonts w:ascii="Times New Roman" w:hAnsi="Times New Roman" w:cs="Times New Roman"/>
          <w:color w:val="000000"/>
          <w:sz w:val="20"/>
          <w:szCs w:val="20"/>
        </w:rPr>
        <w:t>preventiva in materia di tutela della salute e della sicurezza nei luoghi di lavoro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NON INFERIORE A 4 ORE  e realizzabile tramite portale MIUR in e-learning</w:t>
      </w:r>
      <w:r w:rsidRPr="002503F5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2AEADFAC" w14:textId="6A76AF9E" w:rsidR="002503F5" w:rsidRPr="002503F5" w:rsidRDefault="002503F5" w:rsidP="003A71E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6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503F5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r w:rsidRPr="0005081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formazione specifica</w:t>
      </w:r>
      <w:r w:rsidRPr="002503F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2503F5">
        <w:rPr>
          <w:rFonts w:ascii="Times New Roman" w:hAnsi="Times New Roman" w:cs="Times New Roman"/>
          <w:color w:val="000000"/>
          <w:sz w:val="20"/>
          <w:szCs w:val="20"/>
        </w:rPr>
        <w:t>all’ingresso nell</w:t>
      </w:r>
      <w:r>
        <w:rPr>
          <w:rFonts w:ascii="Times New Roman" w:hAnsi="Times New Roman" w:cs="Times New Roman"/>
          <w:color w:val="000000"/>
          <w:sz w:val="20"/>
          <w:szCs w:val="20"/>
        </w:rPr>
        <w:t>a eventuale struttura ospitante; - AGGIUNTIVA – prevista in:</w:t>
      </w:r>
    </w:p>
    <w:p w14:paraId="0F93A25A" w14:textId="77777777" w:rsidR="002503F5" w:rsidRPr="002503F5" w:rsidRDefault="002503F5" w:rsidP="003A71E8">
      <w:pPr>
        <w:pStyle w:val="Default"/>
        <w:spacing w:after="68"/>
        <w:ind w:left="851"/>
        <w:jc w:val="both"/>
        <w:rPr>
          <w:sz w:val="20"/>
          <w:szCs w:val="20"/>
        </w:rPr>
      </w:pPr>
      <w:r w:rsidRPr="002503F5">
        <w:rPr>
          <w:sz w:val="20"/>
          <w:szCs w:val="20"/>
        </w:rPr>
        <w:t xml:space="preserve">- </w:t>
      </w:r>
      <w:r w:rsidRPr="002503F5">
        <w:rPr>
          <w:b/>
          <w:bCs/>
          <w:sz w:val="20"/>
          <w:szCs w:val="20"/>
        </w:rPr>
        <w:t xml:space="preserve">4 ore </w:t>
      </w:r>
      <w:r w:rsidRPr="002503F5">
        <w:rPr>
          <w:sz w:val="20"/>
          <w:szCs w:val="20"/>
        </w:rPr>
        <w:t xml:space="preserve">per i settori della classe di </w:t>
      </w:r>
      <w:r w:rsidRPr="002503F5">
        <w:rPr>
          <w:b/>
          <w:sz w:val="20"/>
          <w:szCs w:val="20"/>
        </w:rPr>
        <w:t>rischio basso</w:t>
      </w:r>
      <w:r w:rsidRPr="002503F5">
        <w:rPr>
          <w:sz w:val="20"/>
          <w:szCs w:val="20"/>
        </w:rPr>
        <w:t xml:space="preserve"> (es. attività immobiliari, attività editoriali, ecc.) la cui erogazione può avvenire in modalità </w:t>
      </w:r>
      <w:r w:rsidRPr="002503F5">
        <w:rPr>
          <w:i/>
          <w:iCs/>
          <w:sz w:val="20"/>
          <w:szCs w:val="20"/>
        </w:rPr>
        <w:t>e-learning</w:t>
      </w:r>
      <w:r w:rsidRPr="002503F5">
        <w:rPr>
          <w:sz w:val="20"/>
          <w:szCs w:val="20"/>
        </w:rPr>
        <w:t xml:space="preserve">; </w:t>
      </w:r>
    </w:p>
    <w:p w14:paraId="2DC81A82" w14:textId="77777777" w:rsidR="002503F5" w:rsidRPr="002503F5" w:rsidRDefault="002503F5" w:rsidP="003A71E8">
      <w:pPr>
        <w:pStyle w:val="Default"/>
        <w:spacing w:after="68"/>
        <w:ind w:left="851"/>
        <w:jc w:val="both"/>
        <w:rPr>
          <w:sz w:val="20"/>
          <w:szCs w:val="20"/>
        </w:rPr>
      </w:pPr>
      <w:r w:rsidRPr="002503F5">
        <w:rPr>
          <w:sz w:val="20"/>
          <w:szCs w:val="20"/>
        </w:rPr>
        <w:t xml:space="preserve">- </w:t>
      </w:r>
      <w:r w:rsidRPr="002503F5">
        <w:rPr>
          <w:b/>
          <w:bCs/>
          <w:sz w:val="20"/>
          <w:szCs w:val="20"/>
        </w:rPr>
        <w:t xml:space="preserve">8 ore </w:t>
      </w:r>
      <w:r w:rsidRPr="002503F5">
        <w:rPr>
          <w:sz w:val="20"/>
          <w:szCs w:val="20"/>
        </w:rPr>
        <w:t xml:space="preserve">per i settori della classe di </w:t>
      </w:r>
      <w:r w:rsidRPr="002503F5">
        <w:rPr>
          <w:b/>
          <w:sz w:val="20"/>
          <w:szCs w:val="20"/>
        </w:rPr>
        <w:t>rischio medio</w:t>
      </w:r>
      <w:r w:rsidRPr="002503F5">
        <w:rPr>
          <w:sz w:val="20"/>
          <w:szCs w:val="20"/>
        </w:rPr>
        <w:t xml:space="preserve"> (es. pesca e acquacoltura, istruzione, ecc.), la cui </w:t>
      </w:r>
      <w:r w:rsidRPr="002503F5">
        <w:rPr>
          <w:i/>
          <w:sz w:val="20"/>
          <w:szCs w:val="20"/>
        </w:rPr>
        <w:t>erogazione</w:t>
      </w:r>
      <w:r w:rsidRPr="002503F5">
        <w:rPr>
          <w:sz w:val="20"/>
          <w:szCs w:val="20"/>
        </w:rPr>
        <w:t xml:space="preserve"> può avvenire esclusivamente </w:t>
      </w:r>
      <w:r w:rsidRPr="002503F5">
        <w:rPr>
          <w:i/>
          <w:sz w:val="20"/>
          <w:szCs w:val="20"/>
        </w:rPr>
        <w:t>in presenza</w:t>
      </w:r>
      <w:r w:rsidRPr="002503F5">
        <w:rPr>
          <w:sz w:val="20"/>
          <w:szCs w:val="20"/>
        </w:rPr>
        <w:t xml:space="preserve">; </w:t>
      </w:r>
    </w:p>
    <w:p w14:paraId="70ADAF76" w14:textId="77777777" w:rsidR="002503F5" w:rsidRDefault="002503F5" w:rsidP="003A71E8">
      <w:pPr>
        <w:pStyle w:val="Default"/>
        <w:ind w:left="851"/>
        <w:jc w:val="both"/>
        <w:rPr>
          <w:sz w:val="20"/>
          <w:szCs w:val="20"/>
        </w:rPr>
      </w:pPr>
      <w:r w:rsidRPr="002503F5">
        <w:rPr>
          <w:sz w:val="20"/>
          <w:szCs w:val="20"/>
        </w:rPr>
        <w:t xml:space="preserve">- </w:t>
      </w:r>
      <w:r w:rsidRPr="002503F5">
        <w:rPr>
          <w:b/>
          <w:bCs/>
          <w:sz w:val="20"/>
          <w:szCs w:val="20"/>
        </w:rPr>
        <w:t xml:space="preserve">12 ore </w:t>
      </w:r>
      <w:r w:rsidRPr="002503F5">
        <w:rPr>
          <w:sz w:val="20"/>
          <w:szCs w:val="20"/>
        </w:rPr>
        <w:t xml:space="preserve">per i settori della classe di </w:t>
      </w:r>
      <w:r w:rsidRPr="002503F5">
        <w:rPr>
          <w:b/>
          <w:sz w:val="20"/>
          <w:szCs w:val="20"/>
        </w:rPr>
        <w:t>rischio alto</w:t>
      </w:r>
      <w:r w:rsidRPr="002503F5">
        <w:rPr>
          <w:sz w:val="20"/>
          <w:szCs w:val="20"/>
        </w:rPr>
        <w:t xml:space="preserve"> (es. costruzioni di edifici, industrie tessili, me-tallurgia, ecc.), la cui </w:t>
      </w:r>
      <w:r w:rsidRPr="002503F5">
        <w:rPr>
          <w:i/>
          <w:sz w:val="20"/>
          <w:szCs w:val="20"/>
        </w:rPr>
        <w:t>erogazione</w:t>
      </w:r>
      <w:r w:rsidRPr="002503F5">
        <w:rPr>
          <w:sz w:val="20"/>
          <w:szCs w:val="20"/>
        </w:rPr>
        <w:t xml:space="preserve"> può avvenire esclusivamente </w:t>
      </w:r>
      <w:r w:rsidRPr="002503F5">
        <w:rPr>
          <w:i/>
          <w:sz w:val="20"/>
          <w:szCs w:val="20"/>
        </w:rPr>
        <w:t>in presenza</w:t>
      </w:r>
      <w:r w:rsidRPr="002503F5">
        <w:rPr>
          <w:sz w:val="20"/>
          <w:szCs w:val="20"/>
        </w:rPr>
        <w:t xml:space="preserve">. </w:t>
      </w:r>
    </w:p>
    <w:p w14:paraId="5E6834C4" w14:textId="77777777" w:rsidR="003A71E8" w:rsidRDefault="003A71E8" w:rsidP="003A71E8">
      <w:pPr>
        <w:pStyle w:val="Default"/>
        <w:jc w:val="both"/>
        <w:rPr>
          <w:sz w:val="20"/>
          <w:szCs w:val="20"/>
        </w:rPr>
      </w:pPr>
    </w:p>
    <w:p w14:paraId="582A11D6" w14:textId="77CCEA83" w:rsidR="002503F5" w:rsidRDefault="002503F5" w:rsidP="003A71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formazione specifica è erogata a carico del soggetto ospitante, laddove l’attività di PCTO si svolge all’esterno della scuola.</w:t>
      </w:r>
    </w:p>
    <w:p w14:paraId="7469489E" w14:textId="77777777" w:rsidR="00050815" w:rsidRDefault="00050815" w:rsidP="003A71E8">
      <w:pPr>
        <w:pStyle w:val="Default"/>
        <w:jc w:val="both"/>
        <w:rPr>
          <w:sz w:val="20"/>
          <w:szCs w:val="20"/>
        </w:rPr>
      </w:pPr>
    </w:p>
    <w:p w14:paraId="69AE0D28" w14:textId="3649DE31" w:rsidR="002503F5" w:rsidRDefault="002503F5" w:rsidP="003A71E8">
      <w:pPr>
        <w:pStyle w:val="Default"/>
        <w:jc w:val="both"/>
        <w:rPr>
          <w:i/>
          <w:sz w:val="22"/>
          <w:szCs w:val="22"/>
        </w:rPr>
      </w:pPr>
      <w:r w:rsidRPr="002503F5">
        <w:rPr>
          <w:sz w:val="22"/>
          <w:szCs w:val="22"/>
        </w:rPr>
        <w:t>SI PONE UN PROBLEMA &gt;&gt;&gt;&gt; IL TESTO RECITA: “</w:t>
      </w:r>
      <w:r w:rsidRPr="002503F5">
        <w:rPr>
          <w:i/>
          <w:sz w:val="22"/>
          <w:szCs w:val="22"/>
        </w:rPr>
        <w:t>E’ evidente che, nel caso in cui i PCTO non prevedano la presenza degli studenti presso le strutture ospitanti, la formazione finalizzata a tali percorsi si circoscrive a quella generale, con un numero di ore non inferiore a 4, ferma restando la formazione specifica che gli studenti dovranno avere per le attività svolte presso i locali della scuola (8 ore).</w:t>
      </w:r>
    </w:p>
    <w:p w14:paraId="5EBD32EB" w14:textId="77777777" w:rsidR="003A71E8" w:rsidRDefault="003A71E8" w:rsidP="003A71E8">
      <w:pPr>
        <w:pStyle w:val="Default"/>
        <w:jc w:val="both"/>
        <w:rPr>
          <w:sz w:val="22"/>
          <w:szCs w:val="22"/>
        </w:rPr>
      </w:pPr>
    </w:p>
    <w:p w14:paraId="40BE34AA" w14:textId="48B614A2" w:rsidR="002503F5" w:rsidRDefault="002503F5" w:rsidP="003A71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BISOGNA QUINDI AGGIUNGERE CORSO DI 8 ORE IN PRESENZA ( rischio medio) </w:t>
      </w:r>
      <w:r w:rsidR="00CD5502">
        <w:rPr>
          <w:sz w:val="22"/>
          <w:szCs w:val="22"/>
        </w:rPr>
        <w:t xml:space="preserve">PER TUTTI GLI </w:t>
      </w:r>
      <w:r>
        <w:rPr>
          <w:sz w:val="22"/>
          <w:szCs w:val="22"/>
        </w:rPr>
        <w:t xml:space="preserve">STUDENTI CHE SVOLGONO  </w:t>
      </w:r>
      <w:r w:rsidR="00CD5502">
        <w:rPr>
          <w:sz w:val="22"/>
          <w:szCs w:val="22"/>
        </w:rPr>
        <w:t>PCTO</w:t>
      </w:r>
      <w:r>
        <w:rPr>
          <w:sz w:val="22"/>
          <w:szCs w:val="22"/>
        </w:rPr>
        <w:t xml:space="preserve"> PRESSO I LOCALI DELLA SCUOLA??</w:t>
      </w:r>
    </w:p>
    <w:p w14:paraId="0C4256FB" w14:textId="77777777" w:rsidR="00CD5502" w:rsidRDefault="00CD5502" w:rsidP="003A71E8">
      <w:pPr>
        <w:pStyle w:val="Default"/>
        <w:jc w:val="both"/>
        <w:rPr>
          <w:sz w:val="22"/>
          <w:szCs w:val="22"/>
        </w:rPr>
      </w:pPr>
    </w:p>
    <w:p w14:paraId="680FA3A3" w14:textId="303E5144" w:rsidR="00CD5502" w:rsidRDefault="00CD5502" w:rsidP="003A71E8">
      <w:pPr>
        <w:pStyle w:val="Default"/>
        <w:jc w:val="both"/>
        <w:rPr>
          <w:sz w:val="20"/>
          <w:szCs w:val="20"/>
        </w:rPr>
      </w:pPr>
      <w:r w:rsidRPr="00CD5502">
        <w:rPr>
          <w:sz w:val="20"/>
          <w:szCs w:val="20"/>
        </w:rPr>
        <w:t xml:space="preserve">Infine </w:t>
      </w:r>
      <w:r>
        <w:rPr>
          <w:sz w:val="20"/>
          <w:szCs w:val="20"/>
        </w:rPr>
        <w:t>sono stabiliti i rapporti studenti/tutor in relazione al rischio attività:</w:t>
      </w:r>
    </w:p>
    <w:p w14:paraId="63F71963" w14:textId="77777777" w:rsidR="00CD5502" w:rsidRPr="00CD5502" w:rsidRDefault="00CD5502" w:rsidP="003A71E8">
      <w:pPr>
        <w:pStyle w:val="Default"/>
        <w:numPr>
          <w:ilvl w:val="0"/>
          <w:numId w:val="33"/>
        </w:numPr>
        <w:jc w:val="both"/>
        <w:rPr>
          <w:sz w:val="20"/>
          <w:szCs w:val="20"/>
        </w:rPr>
      </w:pPr>
      <w:r w:rsidRPr="00CD5502">
        <w:rPr>
          <w:sz w:val="20"/>
          <w:szCs w:val="20"/>
        </w:rPr>
        <w:t xml:space="preserve">non superiore al rapporto di </w:t>
      </w:r>
      <w:r w:rsidRPr="00CD5502">
        <w:rPr>
          <w:b/>
          <w:bCs/>
          <w:sz w:val="20"/>
          <w:szCs w:val="20"/>
        </w:rPr>
        <w:t xml:space="preserve">5 a 1 </w:t>
      </w:r>
      <w:r w:rsidRPr="00CD5502">
        <w:rPr>
          <w:sz w:val="20"/>
          <w:szCs w:val="20"/>
        </w:rPr>
        <w:t xml:space="preserve">per attività a rischio alto; </w:t>
      </w:r>
    </w:p>
    <w:p w14:paraId="1995E480" w14:textId="21AA21B3" w:rsidR="00CD5502" w:rsidRPr="00CD5502" w:rsidRDefault="00CD5502" w:rsidP="003A71E8">
      <w:pPr>
        <w:pStyle w:val="Default"/>
        <w:numPr>
          <w:ilvl w:val="0"/>
          <w:numId w:val="33"/>
        </w:numPr>
        <w:jc w:val="both"/>
        <w:rPr>
          <w:sz w:val="20"/>
          <w:szCs w:val="20"/>
        </w:rPr>
      </w:pPr>
      <w:r w:rsidRPr="00CD5502">
        <w:rPr>
          <w:sz w:val="20"/>
          <w:szCs w:val="20"/>
        </w:rPr>
        <w:t xml:space="preserve">non superiore al rapporto di </w:t>
      </w:r>
      <w:r w:rsidRPr="00CD5502">
        <w:rPr>
          <w:b/>
          <w:bCs/>
          <w:sz w:val="20"/>
          <w:szCs w:val="20"/>
        </w:rPr>
        <w:t xml:space="preserve">8 a 1 </w:t>
      </w:r>
      <w:r w:rsidRPr="00CD5502">
        <w:rPr>
          <w:sz w:val="20"/>
          <w:szCs w:val="20"/>
        </w:rPr>
        <w:t xml:space="preserve">per attività a rischio medio; </w:t>
      </w:r>
    </w:p>
    <w:p w14:paraId="266BCDCE" w14:textId="16DB9EC8" w:rsidR="00CD5502" w:rsidRDefault="00CD5502" w:rsidP="003A71E8">
      <w:pPr>
        <w:pStyle w:val="Default"/>
        <w:numPr>
          <w:ilvl w:val="0"/>
          <w:numId w:val="33"/>
        </w:numPr>
        <w:jc w:val="both"/>
        <w:rPr>
          <w:sz w:val="20"/>
          <w:szCs w:val="20"/>
        </w:rPr>
      </w:pPr>
      <w:r w:rsidRPr="00CD5502">
        <w:rPr>
          <w:sz w:val="20"/>
          <w:szCs w:val="20"/>
        </w:rPr>
        <w:t xml:space="preserve">non superiore al rapporto di </w:t>
      </w:r>
      <w:r w:rsidRPr="00CD5502">
        <w:rPr>
          <w:b/>
          <w:bCs/>
          <w:sz w:val="20"/>
          <w:szCs w:val="20"/>
        </w:rPr>
        <w:t xml:space="preserve">12 a 1 </w:t>
      </w:r>
      <w:r w:rsidRPr="00CD5502">
        <w:rPr>
          <w:sz w:val="20"/>
          <w:szCs w:val="20"/>
        </w:rPr>
        <w:t xml:space="preserve">per attività a rischio basso. </w:t>
      </w:r>
    </w:p>
    <w:p w14:paraId="6EAFBB0D" w14:textId="77777777" w:rsidR="00CD5502" w:rsidRDefault="00CD5502" w:rsidP="003A71E8">
      <w:pPr>
        <w:pStyle w:val="Default"/>
        <w:jc w:val="both"/>
        <w:rPr>
          <w:sz w:val="20"/>
          <w:szCs w:val="20"/>
        </w:rPr>
      </w:pPr>
    </w:p>
    <w:p w14:paraId="3ED72AA5" w14:textId="77777777" w:rsidR="00050815" w:rsidRPr="003A71E8" w:rsidRDefault="00255F4D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1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7. </w:t>
      </w:r>
      <w:r w:rsidR="00CD5502" w:rsidRPr="003A7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GLI ASPETTI ASSICURATIVI </w:t>
      </w:r>
    </w:p>
    <w:p w14:paraId="75020A6F" w14:textId="378DDA53" w:rsidR="00CD5502" w:rsidRDefault="00CD5502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5502">
        <w:rPr>
          <w:rFonts w:ascii="Times New Roman" w:hAnsi="Times New Roman" w:cs="Times New Roman"/>
          <w:color w:val="000000"/>
          <w:sz w:val="20"/>
          <w:szCs w:val="20"/>
        </w:rPr>
        <w:t>Sono chiarite</w:t>
      </w:r>
      <w:r w:rsidR="00050815">
        <w:rPr>
          <w:rFonts w:ascii="Times New Roman" w:hAnsi="Times New Roman" w:cs="Times New Roman"/>
          <w:color w:val="000000"/>
          <w:sz w:val="20"/>
          <w:szCs w:val="20"/>
        </w:rPr>
        <w:t xml:space="preserve"> e dettagliate </w:t>
      </w:r>
      <w:r w:rsidRPr="00CD5502">
        <w:rPr>
          <w:rFonts w:ascii="Times New Roman" w:hAnsi="Times New Roman" w:cs="Times New Roman"/>
          <w:color w:val="000000"/>
          <w:sz w:val="20"/>
          <w:szCs w:val="20"/>
        </w:rPr>
        <w:t xml:space="preserve">le coperture assicurative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 cui normalmente si avvalgono le scuole </w:t>
      </w:r>
      <w:r w:rsidR="00050815">
        <w:rPr>
          <w:rFonts w:ascii="Times New Roman" w:hAnsi="Times New Roman" w:cs="Times New Roman"/>
          <w:color w:val="000000"/>
          <w:sz w:val="20"/>
          <w:szCs w:val="20"/>
        </w:rPr>
        <w:t xml:space="preserve">(INAIL e Responsabilità Civile) </w:t>
      </w:r>
      <w:r>
        <w:rPr>
          <w:rFonts w:ascii="Times New Roman" w:hAnsi="Times New Roman" w:cs="Times New Roman"/>
          <w:color w:val="000000"/>
          <w:sz w:val="20"/>
          <w:szCs w:val="20"/>
        </w:rPr>
        <w:t>e si RICHIAMA LA NECESSITA’ DI STIPULARE POLIZZE ASSICURATIVE INTEGRATIVE, nei casi non compresi</w:t>
      </w:r>
      <w:r w:rsidR="003A71E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3EADFFE" w14:textId="6C5E1FC9" w:rsidR="003A71E8" w:rsidRDefault="003A71E8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Interessante il seguente passaggio:</w:t>
      </w:r>
    </w:p>
    <w:p w14:paraId="690F5E03" w14:textId="77777777" w:rsidR="003A71E8" w:rsidRPr="003A71E8" w:rsidRDefault="003A71E8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A71E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“Al riguardo, si fa espresso rinvio alle indicazioni della citata circolare, specificando che in linea generale l’Istituto, con riferimento all’indennizzabilità degli eventi occorsi agli studenti impegnati nei percorsi, ha inteso distinguere tra: - eventi verificatisi nell’ambito scolastico vero e proprio; - eventi occorsi durante i periodi di apprendimento in contesti di lavoro nel corso dello svolgimento delle specifiche attività previste dai progetti. </w:t>
      </w:r>
    </w:p>
    <w:p w14:paraId="53929147" w14:textId="72565672" w:rsidR="003A71E8" w:rsidRPr="003A71E8" w:rsidRDefault="003A71E8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A71E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Per quanto riguarda i primi, l’Istituto ha avuto modo di precisare che gli studenti sono assicurati soltanto se gli eventi sono occorsi in occasione delle seguenti attività previste dall’articolo 4, n. 5, del d.P.R. 1124/1965: - esperienze tecnico-scientifiche, esercitazioni pratiche e di lavoro; - attività di educazione fisica nella scuola secondaria; - attività di scienze motorie e sportive, nonché attività di alfabetizzazione informatica e di apprendimento di lingue straniere con l’ausilio di laboratori nella scuola primaria e secondaria; - viaggi di integrazione della preparazione di indirizzo.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”</w:t>
      </w:r>
    </w:p>
    <w:p w14:paraId="2F34F558" w14:textId="77777777" w:rsidR="00CD5502" w:rsidRPr="00AC305C" w:rsidRDefault="00CD5502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4556B74" w14:textId="58DAC411" w:rsidR="00CD5502" w:rsidRDefault="00255F4D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8. </w:t>
      </w:r>
      <w:r w:rsidR="00CD5502" w:rsidRPr="00AC305C">
        <w:rPr>
          <w:rFonts w:ascii="Times New Roman" w:hAnsi="Times New Roman" w:cs="Times New Roman"/>
          <w:b/>
          <w:color w:val="000000"/>
          <w:sz w:val="23"/>
          <w:szCs w:val="23"/>
        </w:rPr>
        <w:t>I PERCORSI E L’ESAME DI STATO</w:t>
      </w:r>
    </w:p>
    <w:p w14:paraId="557B4405" w14:textId="1B575AE8" w:rsidR="00AC305C" w:rsidRDefault="00CD5502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02">
        <w:rPr>
          <w:rFonts w:ascii="Times New Roman" w:hAnsi="Times New Roman" w:cs="Times New Roman"/>
          <w:color w:val="000000"/>
          <w:sz w:val="20"/>
          <w:szCs w:val="20"/>
        </w:rPr>
        <w:t>Si ribadisce che “</w:t>
      </w:r>
      <w:r w:rsidRPr="00CD5502">
        <w:rPr>
          <w:rFonts w:ascii="Times New Roman" w:hAnsi="Times New Roman" w:cs="Times New Roman"/>
          <w:sz w:val="20"/>
          <w:szCs w:val="20"/>
        </w:rPr>
        <w:t xml:space="preserve">comma 5 dell’articolo 8 dell’Ordinanza Ministeriale 205/2019 prevede che i </w:t>
      </w:r>
      <w:r w:rsidRPr="00CD5502">
        <w:rPr>
          <w:rFonts w:ascii="Times New Roman" w:hAnsi="Times New Roman" w:cs="Times New Roman"/>
          <w:b/>
          <w:sz w:val="20"/>
          <w:szCs w:val="20"/>
        </w:rPr>
        <w:t xml:space="preserve">PCTO concorrono alla valutazione delle discipline </w:t>
      </w:r>
      <w:r w:rsidRPr="00CD5502">
        <w:rPr>
          <w:rFonts w:ascii="Times New Roman" w:hAnsi="Times New Roman" w:cs="Times New Roman"/>
          <w:sz w:val="20"/>
          <w:szCs w:val="20"/>
        </w:rPr>
        <w:t xml:space="preserve">alle quali tali percorsi afferiscono e </w:t>
      </w:r>
      <w:r w:rsidRPr="00CD5502">
        <w:rPr>
          <w:rFonts w:ascii="Times New Roman" w:hAnsi="Times New Roman" w:cs="Times New Roman"/>
          <w:b/>
          <w:sz w:val="20"/>
          <w:szCs w:val="20"/>
        </w:rPr>
        <w:t>a quella del comportamento</w:t>
      </w:r>
      <w:r w:rsidRPr="00CD5502">
        <w:rPr>
          <w:rFonts w:ascii="Times New Roman" w:hAnsi="Times New Roman" w:cs="Times New Roman"/>
          <w:sz w:val="20"/>
          <w:szCs w:val="20"/>
        </w:rPr>
        <w:t xml:space="preserve"> e contribuiscono alla definizione del credito scolastico”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548C5F" w14:textId="57FD6E81" w:rsidR="00CD5502" w:rsidRDefault="00CD5502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02">
        <w:rPr>
          <w:rFonts w:ascii="Times New Roman" w:hAnsi="Times New Roman" w:cs="Times New Roman"/>
          <w:sz w:val="20"/>
          <w:szCs w:val="20"/>
        </w:rPr>
        <w:t>Si richiama l’art. 17 del decreto 62/2017, peraltr</w:t>
      </w:r>
      <w:r>
        <w:rPr>
          <w:rFonts w:ascii="Times New Roman" w:hAnsi="Times New Roman" w:cs="Times New Roman"/>
          <w:sz w:val="20"/>
          <w:szCs w:val="20"/>
        </w:rPr>
        <w:t>o ripreso nell’art. 2 del decre</w:t>
      </w:r>
      <w:r w:rsidRPr="00CD5502">
        <w:rPr>
          <w:rFonts w:ascii="Times New Roman" w:hAnsi="Times New Roman" w:cs="Times New Roman"/>
          <w:sz w:val="20"/>
          <w:szCs w:val="20"/>
        </w:rPr>
        <w:t xml:space="preserve">to ministeriale 37/2019 e nell’art. 19 dell’OM 205/2019, che prevede che una sezione del </w:t>
      </w:r>
      <w:r w:rsidRPr="00CD5502">
        <w:rPr>
          <w:rFonts w:ascii="Times New Roman" w:hAnsi="Times New Roman" w:cs="Times New Roman"/>
          <w:sz w:val="20"/>
          <w:szCs w:val="20"/>
          <w:u w:val="single"/>
        </w:rPr>
        <w:t>colloquio dell’Esame di Stato</w:t>
      </w:r>
      <w:r w:rsidRPr="00CD5502">
        <w:rPr>
          <w:rFonts w:ascii="Times New Roman" w:hAnsi="Times New Roman" w:cs="Times New Roman"/>
          <w:sz w:val="20"/>
          <w:szCs w:val="20"/>
        </w:rPr>
        <w:t xml:space="preserve"> sia dedicata all’illustrazione, da parte del candidato, delle esperienze PCTO con modalità da lui stesso prescelte (relazione, elaborati multimediali etc.).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71E8">
        <w:rPr>
          <w:rFonts w:ascii="Times New Roman" w:hAnsi="Times New Roman" w:cs="Times New Roman"/>
          <w:sz w:val="20"/>
          <w:szCs w:val="20"/>
        </w:rPr>
        <w:t>Tale presentazione rientra</w:t>
      </w:r>
      <w:r w:rsidRPr="00CD5502">
        <w:rPr>
          <w:rFonts w:ascii="Times New Roman" w:hAnsi="Times New Roman" w:cs="Times New Roman"/>
          <w:sz w:val="20"/>
          <w:szCs w:val="20"/>
        </w:rPr>
        <w:t xml:space="preserve"> a pieno titolo nella determinazione del punteggio del colloquio, e quindi ha ricaduta sul punteggio complessivo.</w:t>
      </w:r>
    </w:p>
    <w:p w14:paraId="659E1A16" w14:textId="6331E5AC" w:rsidR="006C0ACF" w:rsidRPr="006C0ACF" w:rsidRDefault="006C0ACF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6C0ACF">
        <w:rPr>
          <w:rFonts w:ascii="Times New Roman" w:hAnsi="Times New Roman" w:cs="Times New Roman"/>
          <w:sz w:val="20"/>
          <w:szCs w:val="20"/>
        </w:rPr>
        <w:t>Al fine di agevolare il lavoro delle commissioni d’esame, il Consiglio di classe, nella redazione del documento finale (“documento del 15 maggio”) illustra e descrive le attività svolte nell’ambito dei PCTO, allegando eventuali atti e certificazioni relative a tali percorsi (cfr. art. 14 del DM 37/2019 e art. 6 OM 205/2019).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679ABD14" w14:textId="77777777" w:rsidR="00CD5502" w:rsidRPr="00AC305C" w:rsidRDefault="00CD5502" w:rsidP="003A71E8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4ED58D1" w14:textId="0AF44288" w:rsidR="00AC305C" w:rsidRPr="00AC305C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A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 RISORSE FINANZIARIE ASSEGNATE ALLE SCUOLE </w:t>
      </w:r>
    </w:p>
    <w:p w14:paraId="5F6A923F" w14:textId="339CFA4D" w:rsidR="00D91634" w:rsidRDefault="006C0ACF" w:rsidP="003A71E8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Vengono date specifiche indicazioni e si ribadisce LA GRATUITA’ dei PCTO per studenti e famiglie.</w:t>
      </w:r>
    </w:p>
    <w:p w14:paraId="05B80743" w14:textId="77777777" w:rsidR="006C0ACF" w:rsidRDefault="006C0ACF" w:rsidP="003A71E8">
      <w:pPr>
        <w:jc w:val="both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14:paraId="57A910AE" w14:textId="208AEDD7" w:rsidR="006C0ACF" w:rsidRDefault="006C0ACF" w:rsidP="003A71E8">
      <w:pPr>
        <w:jc w:val="both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6C0ACF">
        <w:rPr>
          <w:rFonts w:ascii="Verdana" w:eastAsia="Times New Roman" w:hAnsi="Verdana" w:cs="Times New Roman"/>
          <w:b/>
          <w:sz w:val="24"/>
          <w:szCs w:val="24"/>
          <w:lang w:eastAsia="it-IT"/>
        </w:rPr>
        <w:t>APPENDICE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>: indice</w:t>
      </w:r>
    </w:p>
    <w:p w14:paraId="6A79EDBA" w14:textId="5FB0B310" w:rsidR="006C0ACF" w:rsidRPr="006C0ACF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>L’evoluzione del quadro normativo nazionale;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C0AC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riporta il  quadro normativo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e una sintesi delle disposizioni</w:t>
      </w:r>
    </w:p>
    <w:p w14:paraId="62A1FA6B" w14:textId="18D24CA6" w:rsidR="006C0ACF" w:rsidRPr="006C0ACF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>L’Impresa Formativa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Simulata e l’Impresa in Azione;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documentazione utile</w:t>
      </w:r>
    </w:p>
    <w:p w14:paraId="047F2E3C" w14:textId="77777777" w:rsidR="006C0ACF" w:rsidRPr="006C0ACF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 w:rsidRPr="00002C21">
        <w:rPr>
          <w:rFonts w:ascii="Times New Roman" w:hAnsi="Times New Roman" w:cs="Times New Roman"/>
          <w:i/>
          <w:iCs/>
          <w:color w:val="000000"/>
          <w:sz w:val="23"/>
          <w:szCs w:val="23"/>
        </w:rPr>
        <w:t>Service Learning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documentazione utile</w:t>
      </w:r>
    </w:p>
    <w:p w14:paraId="4F7227EE" w14:textId="67356F70" w:rsidR="006C0ACF" w:rsidRPr="00002C21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Il Sillabo per l’educazione all’imprenditorialità;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documentazione utile</w:t>
      </w:r>
    </w:p>
    <w:p w14:paraId="6972AC00" w14:textId="56D33BFE" w:rsidR="006C0ACF" w:rsidRPr="00002C21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Modello di Convenzione;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C0ACF">
        <w:rPr>
          <w:rFonts w:ascii="Times New Roman" w:hAnsi="Times New Roman" w:cs="Times New Roman"/>
          <w:i/>
          <w:color w:val="000000"/>
          <w:sz w:val="20"/>
          <w:szCs w:val="20"/>
        </w:rPr>
        <w:t>modulistica</w:t>
      </w:r>
    </w:p>
    <w:p w14:paraId="6F3D7455" w14:textId="3B750B73" w:rsidR="006C0ACF" w:rsidRPr="00002C21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Modello di Patto formativo. </w:t>
      </w:r>
      <w:r w:rsidRPr="006C0ACF">
        <w:rPr>
          <w:rFonts w:ascii="Times New Roman" w:hAnsi="Times New Roman" w:cs="Times New Roman"/>
          <w:i/>
          <w:color w:val="000000"/>
          <w:sz w:val="20"/>
          <w:szCs w:val="20"/>
        </w:rPr>
        <w:t>modulistica</w:t>
      </w:r>
    </w:p>
    <w:p w14:paraId="07917CDC" w14:textId="77777777" w:rsidR="006C0ACF" w:rsidRPr="00002C21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02C2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G) </w:t>
      </w:r>
      <w:r w:rsidRPr="00002C21">
        <w:rPr>
          <w:rFonts w:ascii="Times New Roman" w:hAnsi="Times New Roman" w:cs="Times New Roman"/>
          <w:color w:val="000000"/>
          <w:sz w:val="23"/>
          <w:szCs w:val="23"/>
        </w:rPr>
        <w:t xml:space="preserve">Scheda per la valutazione dell’esperienza da parte degli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studenti </w:t>
      </w:r>
      <w:r w:rsidRPr="006C0ACF">
        <w:rPr>
          <w:rFonts w:ascii="Times New Roman" w:hAnsi="Times New Roman" w:cs="Times New Roman"/>
          <w:i/>
          <w:color w:val="000000"/>
          <w:sz w:val="20"/>
          <w:szCs w:val="20"/>
        </w:rPr>
        <w:t>modulistica</w:t>
      </w:r>
    </w:p>
    <w:p w14:paraId="23A4D625" w14:textId="395D0143" w:rsidR="006C0ACF" w:rsidRPr="00002C21" w:rsidRDefault="006C0ACF" w:rsidP="003A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7FDA333" w14:textId="61107B8F" w:rsidR="006C0ACF" w:rsidRPr="006C0ACF" w:rsidRDefault="006C0ACF" w:rsidP="003A7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0ACF">
        <w:rPr>
          <w:rFonts w:ascii="Times New Roman" w:eastAsia="Times New Roman" w:hAnsi="Times New Roman" w:cs="Times New Roman"/>
          <w:sz w:val="24"/>
          <w:szCs w:val="24"/>
          <w:lang w:eastAsia="it-IT"/>
        </w:rPr>
        <w:t>I documenti presenti sono numericamente decisamente inferiori a quelli riportati fra</w:t>
      </w:r>
      <w:r w:rsidR="000E10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0E1008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6C0ACF">
        <w:rPr>
          <w:rFonts w:ascii="Times New Roman" w:eastAsia="Times New Roman" w:hAnsi="Times New Roman" w:cs="Times New Roman"/>
          <w:sz w:val="24"/>
          <w:szCs w:val="24"/>
          <w:lang w:eastAsia="it-IT"/>
        </w:rPr>
        <w:t>li allegati della guida operativa ASL del 2015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 forniscono ulteriore documentazione rispetto al testo e solo esempi parziali dei moduli necessari per i PCTO, perché nel testo delle linee guida sono richiamati i moduli precedenti presenti nel 2015.</w:t>
      </w:r>
    </w:p>
    <w:p w14:paraId="0AE10313" w14:textId="77777777" w:rsidR="006C0ACF" w:rsidRDefault="006C0ACF" w:rsidP="003A71E8">
      <w:pPr>
        <w:jc w:val="both"/>
        <w:rPr>
          <w:rFonts w:ascii="Verdana" w:eastAsia="Times New Roman" w:hAnsi="Verdana" w:cs="Times New Roman"/>
          <w:sz w:val="21"/>
          <w:szCs w:val="21"/>
          <w:lang w:eastAsia="it-IT"/>
        </w:rPr>
      </w:pPr>
    </w:p>
    <w:p w14:paraId="7ED8B4AF" w14:textId="77777777" w:rsidR="00110827" w:rsidRDefault="00110827" w:rsidP="003A71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it-IT"/>
        </w:rPr>
      </w:pPr>
    </w:p>
    <w:p w14:paraId="5A9887E5" w14:textId="77777777" w:rsidR="00110827" w:rsidRDefault="00110827" w:rsidP="003A71E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it-IT"/>
        </w:rPr>
      </w:pPr>
    </w:p>
    <w:p w14:paraId="38812AB1" w14:textId="77777777" w:rsidR="00110827" w:rsidRPr="00110827" w:rsidRDefault="00110827" w:rsidP="003A71E8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1"/>
          <w:szCs w:val="21"/>
        </w:rPr>
      </w:pPr>
    </w:p>
    <w:p w14:paraId="4E4FA4E9" w14:textId="77777777" w:rsidR="00110827" w:rsidRDefault="00110827" w:rsidP="003A71E8">
      <w:pPr>
        <w:pStyle w:val="NormaleWeb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1"/>
          <w:szCs w:val="21"/>
        </w:rPr>
      </w:pPr>
    </w:p>
    <w:p w14:paraId="60766BF7" w14:textId="77777777" w:rsidR="00110827" w:rsidRDefault="00110827" w:rsidP="003A71E8">
      <w:pPr>
        <w:pStyle w:val="NormaleWeb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1"/>
          <w:szCs w:val="21"/>
        </w:rPr>
      </w:pPr>
    </w:p>
    <w:p w14:paraId="3A18BD18" w14:textId="77777777" w:rsidR="00110827" w:rsidRDefault="00110827" w:rsidP="003A71E8">
      <w:pPr>
        <w:pStyle w:val="NormaleWeb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1"/>
          <w:szCs w:val="21"/>
        </w:rPr>
      </w:pPr>
    </w:p>
    <w:p w14:paraId="621B1DCE" w14:textId="77777777" w:rsidR="00110827" w:rsidRDefault="00110827" w:rsidP="003A71E8">
      <w:pPr>
        <w:pStyle w:val="NormaleWeb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1"/>
          <w:szCs w:val="21"/>
        </w:rPr>
      </w:pPr>
    </w:p>
    <w:p w14:paraId="45534ABE" w14:textId="77777777" w:rsidR="00110827" w:rsidRPr="000D1E78" w:rsidRDefault="00110827" w:rsidP="003A71E8">
      <w:pPr>
        <w:pStyle w:val="NormaleWeb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1"/>
          <w:szCs w:val="21"/>
        </w:rPr>
      </w:pPr>
    </w:p>
    <w:sectPr w:rsidR="00110827" w:rsidRPr="000D1E78" w:rsidSect="00CD5502">
      <w:footerReference w:type="default" r:id="rId10"/>
      <w:pgSz w:w="11906" w:h="16838"/>
      <w:pgMar w:top="82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3D414" w14:textId="77777777" w:rsidR="00CD5502" w:rsidRDefault="00CD5502" w:rsidP="00CD5502">
      <w:pPr>
        <w:spacing w:after="0" w:line="240" w:lineRule="auto"/>
      </w:pPr>
      <w:r>
        <w:separator/>
      </w:r>
    </w:p>
  </w:endnote>
  <w:endnote w:type="continuationSeparator" w:id="0">
    <w:p w14:paraId="40795006" w14:textId="77777777" w:rsidR="00CD5502" w:rsidRDefault="00CD5502" w:rsidP="00CD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025976"/>
      <w:docPartObj>
        <w:docPartGallery w:val="Page Numbers (Bottom of Page)"/>
        <w:docPartUnique/>
      </w:docPartObj>
    </w:sdtPr>
    <w:sdtEndPr/>
    <w:sdtContent>
      <w:p w14:paraId="670BEB2B" w14:textId="58BB5B6D" w:rsidR="00CD5502" w:rsidRDefault="00CD55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1E8">
          <w:rPr>
            <w:noProof/>
          </w:rPr>
          <w:t>6</w:t>
        </w:r>
        <w:r>
          <w:fldChar w:fldCharType="end"/>
        </w:r>
      </w:p>
    </w:sdtContent>
  </w:sdt>
  <w:p w14:paraId="04CC3859" w14:textId="77777777" w:rsidR="00CD5502" w:rsidRDefault="00CD5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6597" w14:textId="77777777" w:rsidR="00CD5502" w:rsidRDefault="00CD5502" w:rsidP="00CD5502">
      <w:pPr>
        <w:spacing w:after="0" w:line="240" w:lineRule="auto"/>
      </w:pPr>
      <w:r>
        <w:separator/>
      </w:r>
    </w:p>
  </w:footnote>
  <w:footnote w:type="continuationSeparator" w:id="0">
    <w:p w14:paraId="56303BE2" w14:textId="77777777" w:rsidR="00CD5502" w:rsidRDefault="00CD5502" w:rsidP="00CD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8B3"/>
    <w:multiLevelType w:val="hybridMultilevel"/>
    <w:tmpl w:val="075E1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151"/>
    <w:multiLevelType w:val="multilevel"/>
    <w:tmpl w:val="CFD0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228BD"/>
    <w:multiLevelType w:val="hybridMultilevel"/>
    <w:tmpl w:val="14987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9A1"/>
    <w:multiLevelType w:val="hybridMultilevel"/>
    <w:tmpl w:val="43F6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BE3"/>
    <w:multiLevelType w:val="hybridMultilevel"/>
    <w:tmpl w:val="E8220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409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32E6"/>
    <w:multiLevelType w:val="hybridMultilevel"/>
    <w:tmpl w:val="C9264BF6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86D493E"/>
    <w:multiLevelType w:val="hybridMultilevel"/>
    <w:tmpl w:val="35661CCC"/>
    <w:lvl w:ilvl="0" w:tplc="6C5EE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6D7B"/>
    <w:multiLevelType w:val="multilevel"/>
    <w:tmpl w:val="92C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C1942"/>
    <w:multiLevelType w:val="hybridMultilevel"/>
    <w:tmpl w:val="66CAD070"/>
    <w:lvl w:ilvl="0" w:tplc="6C5EE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47F6"/>
    <w:multiLevelType w:val="multilevel"/>
    <w:tmpl w:val="B77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84EDD"/>
    <w:multiLevelType w:val="multilevel"/>
    <w:tmpl w:val="7FE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CB4C62"/>
    <w:multiLevelType w:val="hybridMultilevel"/>
    <w:tmpl w:val="051C7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D7403"/>
    <w:multiLevelType w:val="multilevel"/>
    <w:tmpl w:val="F1AE3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44868"/>
    <w:multiLevelType w:val="multilevel"/>
    <w:tmpl w:val="094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62ACA"/>
    <w:multiLevelType w:val="hybridMultilevel"/>
    <w:tmpl w:val="8F8EE84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43FF4956"/>
    <w:multiLevelType w:val="hybridMultilevel"/>
    <w:tmpl w:val="6B2A9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192A"/>
    <w:multiLevelType w:val="hybridMultilevel"/>
    <w:tmpl w:val="46407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3AD5"/>
    <w:multiLevelType w:val="multilevel"/>
    <w:tmpl w:val="5764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348C5"/>
    <w:multiLevelType w:val="multilevel"/>
    <w:tmpl w:val="C6A8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55AA3"/>
    <w:multiLevelType w:val="multilevel"/>
    <w:tmpl w:val="BE9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11CA0"/>
    <w:multiLevelType w:val="hybridMultilevel"/>
    <w:tmpl w:val="C8BEAA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5645E"/>
    <w:multiLevelType w:val="multilevel"/>
    <w:tmpl w:val="70EE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BA6BD0"/>
    <w:multiLevelType w:val="hybridMultilevel"/>
    <w:tmpl w:val="9118F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B40AB"/>
    <w:multiLevelType w:val="multilevel"/>
    <w:tmpl w:val="326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80F46"/>
    <w:multiLevelType w:val="hybridMultilevel"/>
    <w:tmpl w:val="5426995E"/>
    <w:lvl w:ilvl="0" w:tplc="2CFE7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90C8E"/>
    <w:multiLevelType w:val="multilevel"/>
    <w:tmpl w:val="988A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F64DB"/>
    <w:multiLevelType w:val="hybridMultilevel"/>
    <w:tmpl w:val="DC2E7BA4"/>
    <w:lvl w:ilvl="0" w:tplc="6C5EE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81100"/>
    <w:multiLevelType w:val="hybridMultilevel"/>
    <w:tmpl w:val="D750D8C4"/>
    <w:lvl w:ilvl="0" w:tplc="6C5EE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7B25"/>
    <w:multiLevelType w:val="multilevel"/>
    <w:tmpl w:val="3F5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E44BE"/>
    <w:multiLevelType w:val="hybridMultilevel"/>
    <w:tmpl w:val="E970242E"/>
    <w:lvl w:ilvl="0" w:tplc="6C5EE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42A2"/>
    <w:multiLevelType w:val="hybridMultilevel"/>
    <w:tmpl w:val="F3940350"/>
    <w:lvl w:ilvl="0" w:tplc="2CFE7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0567B"/>
    <w:multiLevelType w:val="multilevel"/>
    <w:tmpl w:val="0B6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303C1"/>
    <w:multiLevelType w:val="multilevel"/>
    <w:tmpl w:val="890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3"/>
  </w:num>
  <w:num w:numId="5">
    <w:abstractNumId w:val="31"/>
  </w:num>
  <w:num w:numId="6">
    <w:abstractNumId w:val="21"/>
  </w:num>
  <w:num w:numId="7">
    <w:abstractNumId w:val="7"/>
  </w:num>
  <w:num w:numId="8">
    <w:abstractNumId w:val="28"/>
  </w:num>
  <w:num w:numId="9">
    <w:abstractNumId w:val="1"/>
  </w:num>
  <w:num w:numId="10">
    <w:abstractNumId w:val="18"/>
  </w:num>
  <w:num w:numId="11">
    <w:abstractNumId w:val="13"/>
  </w:num>
  <w:num w:numId="12">
    <w:abstractNumId w:val="9"/>
  </w:num>
  <w:num w:numId="13">
    <w:abstractNumId w:val="25"/>
  </w:num>
  <w:num w:numId="14">
    <w:abstractNumId w:val="10"/>
  </w:num>
  <w:num w:numId="15">
    <w:abstractNumId w:val="32"/>
  </w:num>
  <w:num w:numId="16">
    <w:abstractNumId w:val="3"/>
  </w:num>
  <w:num w:numId="17">
    <w:abstractNumId w:val="14"/>
  </w:num>
  <w:num w:numId="18">
    <w:abstractNumId w:val="22"/>
  </w:num>
  <w:num w:numId="19">
    <w:abstractNumId w:val="30"/>
  </w:num>
  <w:num w:numId="20">
    <w:abstractNumId w:val="20"/>
  </w:num>
  <w:num w:numId="21">
    <w:abstractNumId w:val="5"/>
  </w:num>
  <w:num w:numId="22">
    <w:abstractNumId w:val="16"/>
  </w:num>
  <w:num w:numId="23">
    <w:abstractNumId w:val="0"/>
  </w:num>
  <w:num w:numId="24">
    <w:abstractNumId w:val="24"/>
  </w:num>
  <w:num w:numId="25">
    <w:abstractNumId w:val="15"/>
  </w:num>
  <w:num w:numId="26">
    <w:abstractNumId w:val="4"/>
  </w:num>
  <w:num w:numId="27">
    <w:abstractNumId w:val="26"/>
  </w:num>
  <w:num w:numId="28">
    <w:abstractNumId w:val="6"/>
  </w:num>
  <w:num w:numId="29">
    <w:abstractNumId w:val="27"/>
  </w:num>
  <w:num w:numId="30">
    <w:abstractNumId w:val="29"/>
  </w:num>
  <w:num w:numId="31">
    <w:abstractNumId w:val="11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E45"/>
    <w:rsid w:val="00002C21"/>
    <w:rsid w:val="00050815"/>
    <w:rsid w:val="000C79FF"/>
    <w:rsid w:val="000D1E78"/>
    <w:rsid w:val="000E1008"/>
    <w:rsid w:val="000E6691"/>
    <w:rsid w:val="00110827"/>
    <w:rsid w:val="001237D9"/>
    <w:rsid w:val="002503F5"/>
    <w:rsid w:val="00255F4D"/>
    <w:rsid w:val="003652CF"/>
    <w:rsid w:val="003716CF"/>
    <w:rsid w:val="00394F9A"/>
    <w:rsid w:val="003A71E8"/>
    <w:rsid w:val="003C0B02"/>
    <w:rsid w:val="00445505"/>
    <w:rsid w:val="004468CC"/>
    <w:rsid w:val="004A5D5F"/>
    <w:rsid w:val="00543C1F"/>
    <w:rsid w:val="00546C93"/>
    <w:rsid w:val="006464AA"/>
    <w:rsid w:val="006902C0"/>
    <w:rsid w:val="006C0ACF"/>
    <w:rsid w:val="006C7655"/>
    <w:rsid w:val="006D3994"/>
    <w:rsid w:val="006F307D"/>
    <w:rsid w:val="00710441"/>
    <w:rsid w:val="00716817"/>
    <w:rsid w:val="007500FB"/>
    <w:rsid w:val="008D2CE8"/>
    <w:rsid w:val="008E7261"/>
    <w:rsid w:val="009F7E9F"/>
    <w:rsid w:val="00A049AD"/>
    <w:rsid w:val="00AC305C"/>
    <w:rsid w:val="00B13289"/>
    <w:rsid w:val="00B2439B"/>
    <w:rsid w:val="00B64C6D"/>
    <w:rsid w:val="00BF2F4E"/>
    <w:rsid w:val="00C35C6F"/>
    <w:rsid w:val="00CD5502"/>
    <w:rsid w:val="00D16D17"/>
    <w:rsid w:val="00D54453"/>
    <w:rsid w:val="00D60274"/>
    <w:rsid w:val="00D91634"/>
    <w:rsid w:val="00DD3AD6"/>
    <w:rsid w:val="00DF0A48"/>
    <w:rsid w:val="00E57E45"/>
    <w:rsid w:val="00ED4988"/>
    <w:rsid w:val="00F10348"/>
    <w:rsid w:val="00F12909"/>
    <w:rsid w:val="00F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616"/>
  <w15:docId w15:val="{DA85EE8C-36E7-4D38-B5E9-436ADE86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57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6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3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3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E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5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7E4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7E4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E57E45"/>
    <w:rPr>
      <w:i/>
      <w:iCs/>
    </w:rPr>
  </w:style>
  <w:style w:type="character" w:customStyle="1" w:styleId="td-post-date">
    <w:name w:val="td-post-date"/>
    <w:basedOn w:val="Carpredefinitoparagrafo"/>
    <w:rsid w:val="00E57E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E4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6D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statatitle">
    <w:name w:val="testatatitle"/>
    <w:basedOn w:val="Normale"/>
    <w:rsid w:val="00D1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3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autore">
    <w:name w:val="artautore"/>
    <w:basedOn w:val="Carpredefinitoparagrafo"/>
    <w:rsid w:val="00B2439B"/>
  </w:style>
  <w:style w:type="character" w:customStyle="1" w:styleId="entry-date">
    <w:name w:val="entry-date"/>
    <w:basedOn w:val="Carpredefinitoparagrafo"/>
    <w:rsid w:val="00710441"/>
  </w:style>
  <w:style w:type="character" w:customStyle="1" w:styleId="author">
    <w:name w:val="author"/>
    <w:basedOn w:val="Carpredefinitoparagrafo"/>
    <w:rsid w:val="00710441"/>
  </w:style>
  <w:style w:type="character" w:customStyle="1" w:styleId="a2alabel">
    <w:name w:val="a2a_label"/>
    <w:basedOn w:val="Carpredefinitoparagrafo"/>
    <w:rsid w:val="00710441"/>
  </w:style>
  <w:style w:type="paragraph" w:customStyle="1" w:styleId="Default">
    <w:name w:val="Default"/>
    <w:rsid w:val="000D1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1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50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502"/>
  </w:style>
  <w:style w:type="paragraph" w:styleId="Pidipagina">
    <w:name w:val="footer"/>
    <w:basedOn w:val="Normale"/>
    <w:link w:val="PidipaginaCarattere"/>
    <w:uiPriority w:val="99"/>
    <w:unhideWhenUsed/>
    <w:rsid w:val="00CD5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7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1577">
          <w:marLeft w:val="1573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0875">
          <w:marLeft w:val="15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2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768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190">
                  <w:marLeft w:val="30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8944">
                  <w:marLeft w:val="30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7819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2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single" w:sz="48" w:space="0" w:color="FFFFFF"/>
                    <w:bottom w:val="single" w:sz="48" w:space="0" w:color="FFFFFF"/>
                    <w:right w:val="none" w:sz="0" w:space="0" w:color="auto"/>
                  </w:divBdr>
                  <w:divsChild>
                    <w:div w:id="12096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8" w:color="CCCCCC"/>
                        <w:right w:val="single" w:sz="6" w:space="4" w:color="CCCCCC"/>
                      </w:divBdr>
                    </w:div>
                  </w:divsChild>
                </w:div>
                <w:div w:id="19376655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808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67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decreti-ministeriali/decreto-ministeriale-774-del-4-settembre-2019-linee-guida-dei-percorsi-per-le-competenze-trasversali-e-per-l-orientamento-pcto.fl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cgil.it/attualita/formazione-lavoro/linee-guida-inerenti-ai-pcto-percorsi-per-le-competenze-trasversali-e-per-l-orientamento-il-parere-del-csp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E56F-1519-44E0-A00C-AEB7DEF9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admin</cp:lastModifiedBy>
  <cp:revision>23</cp:revision>
  <dcterms:created xsi:type="dcterms:W3CDTF">2019-10-15T14:45:00Z</dcterms:created>
  <dcterms:modified xsi:type="dcterms:W3CDTF">2019-11-05T08:23:00Z</dcterms:modified>
</cp:coreProperties>
</file>