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57" w:rsidRDefault="00C20857">
      <w:pPr>
        <w:rPr>
          <w:rFonts w:ascii="Cambria" w:hAnsi="Cambria"/>
        </w:rPr>
      </w:pPr>
    </w:p>
    <w:p w:rsidR="00C20857" w:rsidRDefault="00C20857" w:rsidP="00700CF0">
      <w:pPr>
        <w:rPr>
          <w:rFonts w:ascii="Cambria" w:hAnsi="Cambria"/>
        </w:rPr>
      </w:pPr>
    </w:p>
    <w:tbl>
      <w:tblPr>
        <w:tblW w:w="0" w:type="auto"/>
        <w:tblLayout w:type="fixed"/>
        <w:tblLook w:val="0000"/>
      </w:tblPr>
      <w:tblGrid>
        <w:gridCol w:w="1950"/>
        <w:gridCol w:w="8666"/>
      </w:tblGrid>
      <w:tr w:rsidR="00C20857" w:rsidTr="0048471C">
        <w:tc>
          <w:tcPr>
            <w:tcW w:w="1950" w:type="dxa"/>
            <w:tcBorders>
              <w:bottom w:val="single" w:sz="24" w:space="0" w:color="C0C0C0"/>
              <w:right w:val="single" w:sz="4" w:space="0" w:color="C0C0C0"/>
            </w:tcBorders>
            <w:shd w:val="clear" w:color="auto" w:fill="FFFFFF"/>
          </w:tcPr>
          <w:p w:rsidR="00C20857" w:rsidRDefault="00C20857" w:rsidP="0048471C">
            <w:pPr>
              <w:jc w:val="right"/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left w:val="single" w:sz="4" w:space="0" w:color="C0C0C0"/>
              <w:bottom w:val="single" w:sz="24" w:space="0" w:color="C0C0C0"/>
            </w:tcBorders>
            <w:shd w:val="clear" w:color="auto" w:fill="FFFFFF"/>
            <w:vAlign w:val="center"/>
          </w:tcPr>
          <w:p w:rsidR="00C20857" w:rsidRDefault="00C20857" w:rsidP="0048471C">
            <w:r>
              <w:rPr>
                <w:rFonts w:ascii="Cambria" w:eastAsia="MS Gothic" w:hAnsi="Cambria"/>
                <w:b/>
                <w:color w:val="000000"/>
                <w:sz w:val="28"/>
              </w:rPr>
              <w:t>SPAGNOLO</w:t>
            </w:r>
          </w:p>
        </w:tc>
      </w:tr>
      <w:tr w:rsidR="00C20857" w:rsidTr="0048471C">
        <w:tc>
          <w:tcPr>
            <w:tcW w:w="1950" w:type="dxa"/>
            <w:tcBorders>
              <w:top w:val="single" w:sz="24" w:space="0" w:color="C0C0C0"/>
              <w:right w:val="single" w:sz="4" w:space="0" w:color="C0C0C0"/>
            </w:tcBorders>
            <w:shd w:val="clear" w:color="auto" w:fill="FFFFFF"/>
          </w:tcPr>
          <w:p w:rsidR="00C20857" w:rsidRDefault="00C20857" w:rsidP="0048471C">
            <w:pPr>
              <w:jc w:val="right"/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C0C0C0"/>
              <w:left w:val="single" w:sz="4" w:space="0" w:color="C0C0C0"/>
              <w:bottom w:val="single" w:sz="24" w:space="0" w:color="C0C0C0"/>
            </w:tcBorders>
            <w:shd w:val="clear" w:color="auto" w:fill="D2EAF1"/>
            <w:vAlign w:val="center"/>
          </w:tcPr>
          <w:p w:rsidR="00C20857" w:rsidRDefault="00C20857" w:rsidP="0048471C">
            <w:r>
              <w:rPr>
                <w:rFonts w:ascii="Cambria" w:eastAsia="MS Gothic" w:hAnsi="Cambria"/>
                <w:b/>
                <w:color w:val="000000"/>
                <w:sz w:val="28"/>
              </w:rPr>
              <w:t>Seconda Liceo delle Scienze Umane / Economico-Sociale</w:t>
            </w:r>
          </w:p>
        </w:tc>
      </w:tr>
      <w:tr w:rsidR="00C20857" w:rsidTr="0048471C">
        <w:tc>
          <w:tcPr>
            <w:tcW w:w="1950" w:type="dxa"/>
            <w:tcBorders>
              <w:right w:val="single" w:sz="4" w:space="0" w:color="C0C0C0"/>
            </w:tcBorders>
            <w:shd w:val="clear" w:color="auto" w:fill="FFFFFF"/>
          </w:tcPr>
          <w:p w:rsidR="00C20857" w:rsidRDefault="00C20857" w:rsidP="0048471C">
            <w:pPr>
              <w:jc w:val="right"/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C0C0C0"/>
              <w:left w:val="single" w:sz="4" w:space="0" w:color="C0C0C0"/>
            </w:tcBorders>
            <w:shd w:val="clear" w:color="auto" w:fill="D2EAF1"/>
            <w:vAlign w:val="center"/>
          </w:tcPr>
          <w:p w:rsidR="00C20857" w:rsidRDefault="00C20857" w:rsidP="0048471C">
            <w:r>
              <w:rPr>
                <w:rFonts w:ascii="Cambria" w:eastAsia="MS Gothic" w:hAnsi="Cambria"/>
                <w:b/>
                <w:color w:val="000000"/>
                <w:sz w:val="28"/>
              </w:rPr>
              <w:t>2018-2019</w:t>
            </w:r>
          </w:p>
        </w:tc>
      </w:tr>
    </w:tbl>
    <w:p w:rsidR="00C20857" w:rsidRDefault="00C20857" w:rsidP="00700CF0">
      <w:pPr>
        <w:rPr>
          <w:rFonts w:ascii="Cambria" w:hAnsi="Cambria"/>
          <w:sz w:val="28"/>
        </w:rPr>
      </w:pPr>
    </w:p>
    <w:p w:rsidR="00C20857" w:rsidRDefault="00C20857" w:rsidP="00700CF0">
      <w:pPr>
        <w:rPr>
          <w:rFonts w:ascii="Cambria" w:hAnsi="Cambria"/>
        </w:rPr>
      </w:pPr>
    </w:p>
    <w:tbl>
      <w:tblPr>
        <w:tblW w:w="10831" w:type="dxa"/>
        <w:tblLayout w:type="fixed"/>
        <w:tblLook w:val="0000"/>
      </w:tblPr>
      <w:tblGrid>
        <w:gridCol w:w="2141"/>
        <w:gridCol w:w="8690"/>
      </w:tblGrid>
      <w:tr w:rsidR="00C20857" w:rsidTr="00254D8A">
        <w:tc>
          <w:tcPr>
            <w:tcW w:w="2141" w:type="dxa"/>
            <w:tcBorders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C20857" w:rsidRDefault="00C20857" w:rsidP="0048471C">
            <w:pPr>
              <w:jc w:val="right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</w:rPr>
              <w:t xml:space="preserve">Argomenti del Primo Anno </w:t>
            </w:r>
          </w:p>
        </w:tc>
        <w:tc>
          <w:tcPr>
            <w:tcW w:w="8690" w:type="dxa"/>
            <w:tcBorders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b/>
                <w:kern w:val="0"/>
                <w:lang w:eastAsia="it-IT"/>
              </w:rPr>
              <w:t>Grammatica</w:t>
            </w:r>
            <w:r w:rsidRPr="00254D8A">
              <w:rPr>
                <w:rFonts w:ascii="Cambria" w:hAnsi="Cambria" w:cs="Century"/>
                <w:kern w:val="0"/>
                <w:lang w:eastAsia="it-IT"/>
              </w:rPr>
              <w:t>.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Alfabeto e regole della pronuncia. Articoli determinativi, indeterminativi e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contratti. Numerali cardinali.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Uso dei verbi Ser e Estar. Tener e Haber . Hay / Está, están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Pronomi personali soggetto e complemento (semplici ed accoppiati)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Aggettivi e pronomi possessivi. Aggettivi e pronomi dimostrativi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Aggettivi, pronomi e avverbi interrogativi. Formazione del plurale e del femminile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Comparativi e superlativi. Uso di muy/mucho.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Studio dei principali verbi regolari, irregolari, riflessivi, di alternanza vocalica e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dittongati: Indicativo Presente, Passato Prossimo, Gerundio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Estar, + gerundio; Dejar de, Tener que, Ir a, Estar a punto de, Acabar de, Haber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de, Deber, Deber de, Hace falta, Hay que, Soler+ infinito. Uso di también/tampoco;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ir/venir; traer/llevar; quedar/quedarse; pedir/preguntar.. Alcuni aggettivi e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pronomi indefiniti: nadie, alguien, ninguno, alguno, nada, algo, otro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Uso delle principali preposizioni e avverbi di luogo, tempo e frequenza</w:t>
            </w:r>
          </w:p>
          <w:p w:rsidR="00C20857" w:rsidRPr="00254D8A" w:rsidRDefault="00C20857" w:rsidP="00254D8A">
            <w:pPr>
              <w:rPr>
                <w:rFonts w:ascii="Cambria" w:hAnsi="Cambria"/>
                <w:b/>
              </w:rPr>
            </w:pPr>
            <w:r w:rsidRPr="00254D8A">
              <w:rPr>
                <w:rFonts w:ascii="Cambria" w:hAnsi="Cambria"/>
                <w:b/>
              </w:rPr>
              <w:t>Funzioni Comunicative e Lessico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Analisi e studio del lessico e delle funzioni comunicative fondamentali contenuti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negli esercizi e nei testi delle prime sette unità del libro Acción vol.A.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In particolare il lessico riguardante: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el tiempo libre, el deporte, la hora, la familia, la descripción física y del carácter, la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descripción de los objetos, los colores, el cuerpo humano, la ropa, la casa y los</w:t>
            </w:r>
          </w:p>
          <w:p w:rsidR="00C20857" w:rsidRPr="00254D8A" w:rsidRDefault="00C20857" w:rsidP="00254D8A">
            <w:pPr>
              <w:rPr>
                <w:rFonts w:ascii="Cambria" w:hAnsi="Cambria"/>
              </w:rPr>
            </w:pPr>
            <w:r w:rsidRPr="00254D8A">
              <w:rPr>
                <w:rFonts w:ascii="Cambria" w:hAnsi="Cambria"/>
              </w:rPr>
              <w:t>muebles, los utensilios y los electrodomésticos, las tareas domésticas, los alimentos, las tiendas</w:t>
            </w:r>
          </w:p>
        </w:tc>
      </w:tr>
      <w:tr w:rsidR="00C20857" w:rsidTr="00254D8A">
        <w:tc>
          <w:tcPr>
            <w:tcW w:w="2141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C20857" w:rsidRDefault="00C20857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Esercizi/Letture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Compilazione di un buon numero di esercizi inerenti gli argomenti sopra elencati e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contenuti nei libri di testo; sette letture contenute nelle prime sette unità del libro</w:t>
            </w:r>
          </w:p>
          <w:p w:rsidR="00C20857" w:rsidRPr="00254D8A" w:rsidRDefault="00C20857" w:rsidP="00254D8A">
            <w:pPr>
              <w:jc w:val="both"/>
              <w:rPr>
                <w:rFonts w:ascii="Cambria" w:hAnsi="Cambria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di testo</w:t>
            </w:r>
          </w:p>
        </w:tc>
      </w:tr>
      <w:tr w:rsidR="00C20857" w:rsidTr="00254D8A">
        <w:tc>
          <w:tcPr>
            <w:tcW w:w="2141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C20857" w:rsidRDefault="00C20857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Libri di testo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C.Polettini, J.P. Navarro, Acciòn vol. A, Zanichelli Editore</w:t>
            </w:r>
          </w:p>
          <w:p w:rsidR="00C20857" w:rsidRPr="00254D8A" w:rsidRDefault="00C20857" w:rsidP="00254D8A">
            <w:pPr>
              <w:rPr>
                <w:rFonts w:ascii="Cambria" w:hAnsi="Cambria"/>
                <w:lang w:val="es-ES_tradnl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L.Tarricone, N.Giol, ¡eSO eS!, Loescher Editore</w:t>
            </w:r>
          </w:p>
        </w:tc>
      </w:tr>
      <w:tr w:rsidR="00C20857" w:rsidTr="00254D8A">
        <w:tc>
          <w:tcPr>
            <w:tcW w:w="2141" w:type="dxa"/>
            <w:tcBorders>
              <w:top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C20857" w:rsidRDefault="00C20857" w:rsidP="0048471C">
            <w:pPr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Prova d’esame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</w:tcBorders>
            <w:shd w:val="clear" w:color="auto" w:fill="FFFFFF"/>
          </w:tcPr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b/>
                <w:kern w:val="0"/>
                <w:lang w:eastAsia="it-IT"/>
              </w:rPr>
              <w:t>Scritto:</w:t>
            </w:r>
            <w:r w:rsidRPr="00254D8A">
              <w:rPr>
                <w:rFonts w:ascii="Cambria" w:hAnsi="Cambria" w:cs="Century"/>
                <w:kern w:val="0"/>
                <w:lang w:eastAsia="it-IT"/>
              </w:rPr>
              <w:t xml:space="preserve"> Esercizi di comprensione, trasformazione, completamento e traduzione.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Piccola produzione scritta.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b/>
                <w:kern w:val="0"/>
                <w:lang w:eastAsia="it-IT"/>
              </w:rPr>
              <w:t>Orale:</w:t>
            </w:r>
            <w:r w:rsidRPr="00254D8A">
              <w:rPr>
                <w:rFonts w:ascii="Cambria" w:hAnsi="Cambria" w:cs="Century"/>
                <w:kern w:val="0"/>
                <w:lang w:eastAsia="it-IT"/>
              </w:rPr>
              <w:t xml:space="preserve"> Lettura, comprensione e riassunto di una/due letture contenute nel libro di</w:t>
            </w:r>
          </w:p>
          <w:p w:rsidR="00C20857" w:rsidRPr="00254D8A" w:rsidRDefault="00C20857" w:rsidP="00254D8A">
            <w:pPr>
              <w:suppressAutoHyphens w:val="0"/>
              <w:autoSpaceDE w:val="0"/>
              <w:autoSpaceDN w:val="0"/>
              <w:adjustRightInd w:val="0"/>
              <w:rPr>
                <w:rFonts w:ascii="Cambria" w:hAnsi="Cambria" w:cs="Century"/>
                <w:kern w:val="0"/>
                <w:lang w:eastAsia="it-IT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testo, a scelta del candidato; domande di grammatica; presentazione da parte</w:t>
            </w:r>
          </w:p>
          <w:p w:rsidR="00C20857" w:rsidRPr="00254D8A" w:rsidRDefault="00C20857" w:rsidP="00254D8A">
            <w:pPr>
              <w:jc w:val="both"/>
              <w:rPr>
                <w:rFonts w:ascii="Cambria" w:hAnsi="Cambria"/>
              </w:rPr>
            </w:pPr>
            <w:r w:rsidRPr="00254D8A">
              <w:rPr>
                <w:rFonts w:ascii="Cambria" w:hAnsi="Cambria" w:cs="Century"/>
                <w:kern w:val="0"/>
                <w:lang w:eastAsia="it-IT"/>
              </w:rPr>
              <w:t>dell’alunno e scambio di informazioni su argomenti di ordine generale.</w:t>
            </w:r>
          </w:p>
        </w:tc>
      </w:tr>
    </w:tbl>
    <w:p w:rsidR="00C20857" w:rsidRDefault="00C20857" w:rsidP="00700CF0">
      <w:pPr>
        <w:suppressAutoHyphens w:val="0"/>
      </w:pPr>
    </w:p>
    <w:p w:rsidR="00C20857" w:rsidRDefault="00C20857" w:rsidP="00700CF0">
      <w:bookmarkStart w:id="0" w:name="_GoBack"/>
      <w:bookmarkEnd w:id="0"/>
    </w:p>
    <w:sectPr w:rsidR="00C20857" w:rsidSect="0049268B">
      <w:pgSz w:w="11906" w:h="16838"/>
      <w:pgMar w:top="720" w:right="720" w:bottom="720" w:left="720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FFD"/>
    <w:multiLevelType w:val="hybridMultilevel"/>
    <w:tmpl w:val="882ECC6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6300BB"/>
    <w:multiLevelType w:val="hybridMultilevel"/>
    <w:tmpl w:val="1C74FAAC"/>
    <w:lvl w:ilvl="0" w:tplc="0744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75221B"/>
    <w:multiLevelType w:val="hybridMultilevel"/>
    <w:tmpl w:val="285E0D3C"/>
    <w:lvl w:ilvl="0" w:tplc="000104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E5D4EC4"/>
    <w:multiLevelType w:val="hybridMultilevel"/>
    <w:tmpl w:val="882ECC6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36E"/>
    <w:rsid w:val="00107034"/>
    <w:rsid w:val="001320A4"/>
    <w:rsid w:val="00254D8A"/>
    <w:rsid w:val="004827C9"/>
    <w:rsid w:val="0048471C"/>
    <w:rsid w:val="0049268B"/>
    <w:rsid w:val="0068336E"/>
    <w:rsid w:val="00700CF0"/>
    <w:rsid w:val="00BB38AF"/>
    <w:rsid w:val="00C20857"/>
    <w:rsid w:val="00F2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8B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  <w:uiPriority w:val="99"/>
    <w:rsid w:val="0049268B"/>
  </w:style>
  <w:style w:type="paragraph" w:styleId="Header">
    <w:name w:val="header"/>
    <w:basedOn w:val="Normal"/>
    <w:next w:val="BodyText"/>
    <w:link w:val="HeaderChar"/>
    <w:uiPriority w:val="99"/>
    <w:rsid w:val="0049268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6D39"/>
    <w:rPr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rsid w:val="004926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6D39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sid w:val="0049268B"/>
  </w:style>
  <w:style w:type="paragraph" w:styleId="Caption">
    <w:name w:val="caption"/>
    <w:basedOn w:val="Normal"/>
    <w:uiPriority w:val="99"/>
    <w:qFormat/>
    <w:rsid w:val="0049268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49268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340</Words>
  <Characters>1943</Characters>
  <Application>Microsoft Office Outlook</Application>
  <DocSecurity>0</DocSecurity>
  <Lines>0</Lines>
  <Paragraphs>0</Paragraphs>
  <ScaleCrop>false</ScaleCrop>
  <Company>IS Virgilio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subject/>
  <dc:creator>Nicola Balzano</dc:creator>
  <cp:keywords/>
  <dc:description/>
  <cp:lastModifiedBy>m.diaferia@tiscali.it</cp:lastModifiedBy>
  <cp:revision>2</cp:revision>
  <cp:lastPrinted>2009-04-22T19:24:00Z</cp:lastPrinted>
  <dcterms:created xsi:type="dcterms:W3CDTF">2018-06-17T15:52:00Z</dcterms:created>
  <dcterms:modified xsi:type="dcterms:W3CDTF">2018-06-17T15:52:00Z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