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69" w:rsidRDefault="00E04769" w:rsidP="00634017">
      <w:pPr>
        <w:pageBreakBefore/>
        <w:rPr>
          <w:rFonts w:ascii="Cambria" w:hAnsi="Cambria"/>
        </w:rPr>
      </w:pPr>
    </w:p>
    <w:tbl>
      <w:tblPr>
        <w:tblW w:w="0" w:type="auto"/>
        <w:tblLayout w:type="fixed"/>
        <w:tblLook w:val="0000"/>
      </w:tblPr>
      <w:tblGrid>
        <w:gridCol w:w="1950"/>
        <w:gridCol w:w="8666"/>
      </w:tblGrid>
      <w:tr w:rsidR="00E04769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E04769" w:rsidRDefault="00E04769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E04769" w:rsidRDefault="00E04769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E04769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E04769" w:rsidRDefault="00E04769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E04769" w:rsidRDefault="00E04769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Terza Liceo delle Scienze Umane / Economico-Sociale</w:t>
            </w:r>
          </w:p>
        </w:tc>
      </w:tr>
      <w:tr w:rsidR="00E04769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E04769" w:rsidRDefault="00E04769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E04769" w:rsidRDefault="00E04769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2019-2020</w:t>
            </w:r>
          </w:p>
        </w:tc>
      </w:tr>
    </w:tbl>
    <w:p w:rsidR="00E04769" w:rsidRDefault="00E04769" w:rsidP="00634017">
      <w:pPr>
        <w:rPr>
          <w:rFonts w:ascii="Cambria" w:hAnsi="Cambria"/>
          <w:sz w:val="28"/>
        </w:rPr>
      </w:pPr>
    </w:p>
    <w:p w:rsidR="00E04769" w:rsidRDefault="00E04769" w:rsidP="00634017">
      <w:pPr>
        <w:rPr>
          <w:rFonts w:ascii="Cambria" w:hAnsi="Cambria"/>
        </w:rPr>
      </w:pPr>
    </w:p>
    <w:tbl>
      <w:tblPr>
        <w:tblW w:w="0" w:type="auto"/>
        <w:tblLayout w:type="fixed"/>
        <w:tblLook w:val="0000"/>
      </w:tblPr>
      <w:tblGrid>
        <w:gridCol w:w="1905"/>
        <w:gridCol w:w="8690"/>
      </w:tblGrid>
      <w:tr w:rsidR="00E04769" w:rsidTr="0048471C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04769" w:rsidRDefault="00E04769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Alfabeto e regole della pronuncia. Articoli determinativi, indeterminativi e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contratti. Numerali cardinali.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Uso dei verbi Ser e Estar. Tener e Haber . Hay / Está, están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Pronomi personali soggetto e complemento (semplici ed accoppiati)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Aggettivi e pronomi possessivi. Aggettivi e pronomi dimostrativi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Aggettivi, pronomi e avverbi interrogativi. Formazione del plurale e del femminile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Comparativi e superlativi. Uso di muy/mucho.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Studio dei principali verbi regolari, irregolari, riflessivi, di alternanza vocalica e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dittongati: Indicativo Presente, Passato Prossimo, Gerundio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Estar, + gerundio; Dejar de, Tener que, Ir a, Estar a punto de, Acabar de, Haber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de, Deber, Deber de, Hace falta, Hay que, Soler+ infinito. Uso di también/tampoco;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ir/venir; traer/llevar; quedar/quedarse; pedir/preguntar.. Alcuni aggettivi e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pronomi indefiniti: nadie, alguien, ninguno, alguno, nada, algo, otro</w:t>
            </w:r>
          </w:p>
          <w:p w:rsidR="00E04769" w:rsidRPr="00551434" w:rsidRDefault="00E04769" w:rsidP="00551434">
            <w:pPr>
              <w:jc w:val="both"/>
              <w:rPr>
                <w:rFonts w:ascii="Cambria" w:hAnsi="Cambria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Uso delle principali preposizioni e avverbi di luogo, tempo e frequenza</w:t>
            </w:r>
          </w:p>
        </w:tc>
      </w:tr>
      <w:tr w:rsidR="00E04769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04769" w:rsidRDefault="00E04769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Regola dell’accento. Uso dei verbi Ser e Estar: particolarità.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Coniugazione dei principali verbi regolari ed irregolari, (oltre i precedenti tempi e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modi) al: Passato remoto, Imperfetto Imperativo affermativo e negativo, con o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senza pronomi personali. Contrasto passato prossimo/passato remoto.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Aggettivi e pronomi indefiniti. Espressioni temporali: “hace…que, desde hace…,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desde…, hace…, desde que…”. Uso di pero, mas, sino, sino que, sin embargo. Por/</w:t>
            </w:r>
          </w:p>
          <w:p w:rsidR="00E04769" w:rsidRPr="00551434" w:rsidRDefault="00E04769" w:rsidP="00551434">
            <w:pPr>
              <w:jc w:val="both"/>
              <w:rPr>
                <w:rFonts w:ascii="Cambria" w:hAnsi="Cambria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Para. Verbi di cambio.</w:t>
            </w:r>
          </w:p>
        </w:tc>
      </w:tr>
      <w:tr w:rsidR="00E04769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04769" w:rsidRDefault="00E04769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Funzioni Linguistiche, Lessico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Analisi e studio del lessico e delle funzioni comunicative fondamentali contenuti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negli esercizi e nei testi delle unità dalla 1 alla 11 dei libri Acción vol. A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In particolare il lessico riguardante:</w:t>
            </w:r>
          </w:p>
          <w:p w:rsidR="00E04769" w:rsidRPr="00551434" w:rsidRDefault="00E04769" w:rsidP="00551434">
            <w:pPr>
              <w:rPr>
                <w:rFonts w:ascii="Cambria" w:hAnsi="Cambria"/>
              </w:rPr>
            </w:pPr>
            <w:r w:rsidRPr="00551434">
              <w:rPr>
                <w:rFonts w:ascii="Cambria" w:hAnsi="Cambria"/>
                <w:kern w:val="0"/>
                <w:lang w:eastAsia="it-IT"/>
              </w:rPr>
              <w:t xml:space="preserve">el </w:t>
            </w:r>
            <w:r w:rsidRPr="00551434">
              <w:rPr>
                <w:rFonts w:ascii="Cambria" w:hAnsi="Cambria"/>
              </w:rPr>
              <w:t>tiempo libre, el deporte, la hora, la familia, la descripción física y del carácter, la</w:t>
            </w:r>
          </w:p>
          <w:p w:rsidR="00E04769" w:rsidRPr="00551434" w:rsidRDefault="00E04769" w:rsidP="00551434">
            <w:pPr>
              <w:rPr>
                <w:rFonts w:ascii="Cambria" w:hAnsi="Cambria"/>
              </w:rPr>
            </w:pPr>
            <w:r w:rsidRPr="00551434">
              <w:rPr>
                <w:rFonts w:ascii="Cambria" w:hAnsi="Cambria"/>
              </w:rPr>
              <w:t>descripción de los objetos, los colores, el cuerpo humano, la ropa, la casa y los</w:t>
            </w:r>
          </w:p>
          <w:p w:rsidR="00E04769" w:rsidRPr="00551434" w:rsidRDefault="00E04769" w:rsidP="00551434">
            <w:pPr>
              <w:rPr>
                <w:rFonts w:ascii="Cambria" w:hAnsi="Cambria"/>
              </w:rPr>
            </w:pPr>
            <w:r w:rsidRPr="00551434">
              <w:rPr>
                <w:rFonts w:ascii="Cambria" w:hAnsi="Cambria"/>
              </w:rPr>
              <w:t>muebles, los utensilios y los electrodomésticos, las tareas domésticas, las</w:t>
            </w:r>
          </w:p>
          <w:p w:rsidR="00E04769" w:rsidRPr="00551434" w:rsidRDefault="00E04769" w:rsidP="00551434">
            <w:pPr>
              <w:rPr>
                <w:rFonts w:ascii="Cambria" w:hAnsi="Cambria"/>
              </w:rPr>
            </w:pPr>
            <w:r w:rsidRPr="00551434">
              <w:rPr>
                <w:rFonts w:ascii="Cambria" w:hAnsi="Cambria"/>
              </w:rPr>
              <w:t>profesiones, los alimentos, la Navidad, la ciudad, la comida, poner/quitar la mesa,</w:t>
            </w:r>
          </w:p>
          <w:p w:rsidR="00E04769" w:rsidRPr="00551434" w:rsidRDefault="00E04769" w:rsidP="00551434">
            <w:pPr>
              <w:rPr>
                <w:rFonts w:ascii="Cambria" w:hAnsi="Cambria"/>
              </w:rPr>
            </w:pPr>
            <w:r w:rsidRPr="00551434">
              <w:rPr>
                <w:rFonts w:ascii="Cambria" w:hAnsi="Cambria"/>
              </w:rPr>
              <w:t>las profesiones, los lugares y los utensilios de los trabajos, preparar una receta, el</w:t>
            </w:r>
          </w:p>
          <w:p w:rsidR="00E04769" w:rsidRPr="00551434" w:rsidRDefault="00E04769" w:rsidP="00551434">
            <w:pPr>
              <w:rPr>
                <w:rFonts w:ascii="Cambria" w:hAnsi="Cambria"/>
              </w:rPr>
            </w:pPr>
            <w:r w:rsidRPr="00551434">
              <w:rPr>
                <w:rFonts w:ascii="Cambria" w:hAnsi="Cambria"/>
              </w:rPr>
              <w:t>cuerpo humano, el clima y el medioambiente.</w:t>
            </w:r>
          </w:p>
        </w:tc>
      </w:tr>
      <w:tr w:rsidR="00E04769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04769" w:rsidRDefault="00E04769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Compilazione di un buon numero di esercizi inerenti gli argomenti sopra elencati e</w:t>
            </w:r>
          </w:p>
          <w:p w:rsidR="00E04769" w:rsidRPr="00551434" w:rsidRDefault="00E04769" w:rsidP="00551434">
            <w:pPr>
              <w:jc w:val="both"/>
              <w:rPr>
                <w:rFonts w:ascii="Cambria" w:hAnsi="Cambria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contenuti nei libri di testo; una decina di letture contenute nei libri di testo</w:t>
            </w:r>
          </w:p>
        </w:tc>
      </w:tr>
      <w:tr w:rsidR="00E04769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04769" w:rsidRDefault="00E04769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C.Polettini, J.P. Navarro, Acciòn vol. A, Zanichelli Editore</w:t>
            </w:r>
          </w:p>
          <w:p w:rsidR="00E04769" w:rsidRPr="00551434" w:rsidRDefault="00E04769" w:rsidP="00551434">
            <w:pPr>
              <w:jc w:val="both"/>
              <w:rPr>
                <w:rFonts w:ascii="Cambria" w:hAnsi="Cambria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L.Tarricone, N.Giol, ¡eSO eS!, Loescher Editore</w:t>
            </w:r>
          </w:p>
        </w:tc>
      </w:tr>
      <w:tr w:rsidR="00E04769" w:rsidTr="0048471C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E04769" w:rsidRDefault="00E04769" w:rsidP="0048471C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b/>
                <w:kern w:val="0"/>
                <w:lang w:eastAsia="it-IT"/>
              </w:rPr>
              <w:t>Scritto:</w:t>
            </w:r>
            <w:r w:rsidRPr="00551434">
              <w:rPr>
                <w:rFonts w:ascii="Cambria" w:hAnsi="Cambria" w:cs="Century"/>
                <w:kern w:val="0"/>
                <w:lang w:eastAsia="it-IT"/>
              </w:rPr>
              <w:t xml:space="preserve"> Esercizi di comprensione, trasformazione, completamento. Produzione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scritta (dialoghi e/o breve testo narrativo e/o descrittivo).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b/>
                <w:kern w:val="0"/>
                <w:lang w:eastAsia="it-IT"/>
              </w:rPr>
              <w:t>Orale:</w:t>
            </w:r>
            <w:r w:rsidRPr="00551434">
              <w:rPr>
                <w:rFonts w:ascii="Cambria" w:hAnsi="Cambria" w:cs="Century"/>
                <w:kern w:val="0"/>
                <w:lang w:eastAsia="it-IT"/>
              </w:rPr>
              <w:t xml:space="preserve"> Lettura e comprensione di un breve testo; domande di grammatica;</w:t>
            </w:r>
          </w:p>
          <w:p w:rsidR="00E04769" w:rsidRPr="00551434" w:rsidRDefault="00E04769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presentazione da parte dell’alunno e scambio di informazioni su argomenti di</w:t>
            </w:r>
          </w:p>
          <w:p w:rsidR="00E04769" w:rsidRPr="00551434" w:rsidRDefault="00E04769" w:rsidP="00551434">
            <w:pPr>
              <w:jc w:val="both"/>
              <w:rPr>
                <w:rFonts w:ascii="Cambria" w:hAnsi="Cambria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ordine generale; riassunto di alcune letture preparate dallo studente</w:t>
            </w:r>
          </w:p>
        </w:tc>
      </w:tr>
    </w:tbl>
    <w:p w:rsidR="00E04769" w:rsidRDefault="00E04769" w:rsidP="00634017">
      <w:pPr>
        <w:jc w:val="both"/>
        <w:rPr>
          <w:rFonts w:ascii="Cambria" w:hAnsi="Cambria"/>
        </w:rPr>
      </w:pPr>
    </w:p>
    <w:p w:rsidR="00E04769" w:rsidRPr="00634017" w:rsidRDefault="00E04769" w:rsidP="00634017">
      <w:bookmarkStart w:id="0" w:name="_GoBack"/>
      <w:bookmarkEnd w:id="0"/>
    </w:p>
    <w:sectPr w:rsidR="00E04769" w:rsidRPr="00634017" w:rsidSect="00AE6AF7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36E"/>
    <w:rsid w:val="001320A4"/>
    <w:rsid w:val="001A6094"/>
    <w:rsid w:val="002C0264"/>
    <w:rsid w:val="00321FE8"/>
    <w:rsid w:val="0048471C"/>
    <w:rsid w:val="00551434"/>
    <w:rsid w:val="00634017"/>
    <w:rsid w:val="0064076C"/>
    <w:rsid w:val="0068336E"/>
    <w:rsid w:val="008817FE"/>
    <w:rsid w:val="00AE6AF7"/>
    <w:rsid w:val="00B51811"/>
    <w:rsid w:val="00E04769"/>
    <w:rsid w:val="00FB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F7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AE6AF7"/>
  </w:style>
  <w:style w:type="paragraph" w:styleId="Header">
    <w:name w:val="header"/>
    <w:basedOn w:val="Normal"/>
    <w:next w:val="BodyText"/>
    <w:link w:val="HeaderChar"/>
    <w:uiPriority w:val="99"/>
    <w:rsid w:val="00AE6AF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AE6A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AE6AF7"/>
  </w:style>
  <w:style w:type="paragraph" w:styleId="Caption">
    <w:name w:val="caption"/>
    <w:basedOn w:val="Normal"/>
    <w:uiPriority w:val="99"/>
    <w:qFormat/>
    <w:rsid w:val="00AE6AF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AE6AF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442</Words>
  <Characters>2523</Characters>
  <Application>Microsoft Office Outlook</Application>
  <DocSecurity>0</DocSecurity>
  <Lines>0</Lines>
  <Paragraphs>0</Paragraphs>
  <ScaleCrop>false</ScaleCrop>
  <Company>IS Virgilio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2</cp:revision>
  <cp:lastPrinted>2009-04-22T19:24:00Z</cp:lastPrinted>
  <dcterms:created xsi:type="dcterms:W3CDTF">2019-06-02T19:23:00Z</dcterms:created>
  <dcterms:modified xsi:type="dcterms:W3CDTF">2019-06-02T19:23:00Z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